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3587B" w14:textId="748EC8D9" w:rsidR="007F1987" w:rsidRDefault="007F1987" w:rsidP="00364CE1">
      <w:pPr>
        <w:pStyle w:val="Coverheading"/>
        <w:pBdr>
          <w:top w:val="single" w:sz="2" w:space="31" w:color="FFFFFF" w:themeColor="background1"/>
          <w:left w:val="single" w:sz="2" w:space="31" w:color="FFFFFF" w:themeColor="background1"/>
          <w:bottom w:val="single" w:sz="2" w:space="31" w:color="FFFFFF" w:themeColor="background1"/>
          <w:right w:val="single" w:sz="2" w:space="31" w:color="FFFFFF" w:themeColor="background1"/>
        </w:pBdr>
        <w:shd w:val="clear" w:color="auto" w:fill="CEEBF8" w:themeFill="accent2"/>
        <w:ind w:left="567" w:right="567"/>
        <w:rPr>
          <w:sz w:val="60"/>
          <w:szCs w:val="60"/>
        </w:rPr>
      </w:pPr>
      <w:r w:rsidRPr="007F1987">
        <w:rPr>
          <w:noProof/>
        </w:rPr>
        <w:drawing>
          <wp:inline distT="0" distB="0" distL="0" distR="0" wp14:anchorId="24BC2E89" wp14:editId="0EC1A43B">
            <wp:extent cx="2094865" cy="503555"/>
            <wp:effectExtent l="0" t="0" r="635" b="0"/>
            <wp:docPr id="4" name="Picture 4" descr="A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 name="Picture 311" descr="ATO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94865" cy="503555"/>
                    </a:xfrm>
                    <a:prstGeom prst="rect">
                      <a:avLst/>
                    </a:prstGeom>
                  </pic:spPr>
                </pic:pic>
              </a:graphicData>
            </a:graphic>
          </wp:inline>
        </w:drawing>
      </w:r>
    </w:p>
    <w:p w14:paraId="069E93AC" w14:textId="5C1BEFCD" w:rsidR="00246328" w:rsidRPr="00246328" w:rsidRDefault="00246328" w:rsidP="00364CE1">
      <w:pPr>
        <w:pStyle w:val="Coverheading"/>
        <w:pBdr>
          <w:top w:val="single" w:sz="2" w:space="31" w:color="FFFFFF" w:themeColor="background1"/>
          <w:left w:val="single" w:sz="2" w:space="31" w:color="FFFFFF" w:themeColor="background1"/>
          <w:bottom w:val="single" w:sz="2" w:space="31" w:color="FFFFFF" w:themeColor="background1"/>
          <w:right w:val="single" w:sz="2" w:space="31" w:color="FFFFFF" w:themeColor="background1"/>
        </w:pBdr>
        <w:shd w:val="clear" w:color="auto" w:fill="CEEBF8" w:themeFill="accent2"/>
        <w:spacing w:before="1080" w:after="0"/>
        <w:ind w:left="567" w:right="567"/>
        <w:rPr>
          <w:sz w:val="60"/>
          <w:szCs w:val="60"/>
        </w:rPr>
      </w:pPr>
      <w:r w:rsidRPr="00246328">
        <w:rPr>
          <w:sz w:val="60"/>
          <w:szCs w:val="60"/>
        </w:rPr>
        <w:t>Self-managed superannuation fund independent auditor’s report</w:t>
      </w:r>
      <w:r w:rsidR="00364CE1">
        <w:rPr>
          <w:sz w:val="60"/>
          <w:szCs w:val="60"/>
        </w:rPr>
        <w:br/>
      </w:r>
    </w:p>
    <w:p w14:paraId="60B484C7" w14:textId="77777777" w:rsidR="00246328" w:rsidRPr="007F1987" w:rsidRDefault="00246328" w:rsidP="00364CE1">
      <w:pPr>
        <w:pStyle w:val="Heading2"/>
        <w:pBdr>
          <w:top w:val="single" w:sz="2" w:space="12" w:color="3844CA" w:themeColor="background2"/>
          <w:left w:val="single" w:sz="2" w:space="31" w:color="3844CA" w:themeColor="background2"/>
          <w:bottom w:val="single" w:sz="2" w:space="12" w:color="3844CA" w:themeColor="background2"/>
          <w:right w:val="single" w:sz="2" w:space="31" w:color="3844CA" w:themeColor="background2"/>
        </w:pBdr>
        <w:shd w:val="clear" w:color="auto" w:fill="3844CA" w:themeFill="background2"/>
        <w:spacing w:before="0" w:line="240" w:lineRule="auto"/>
        <w:ind w:left="567" w:right="567"/>
        <w:rPr>
          <w:rFonts w:asciiTheme="minorHAnsi" w:hAnsiTheme="minorHAnsi"/>
          <w:color w:val="FFFFFF" w:themeColor="background1"/>
          <w:sz w:val="24"/>
          <w:szCs w:val="24"/>
        </w:rPr>
      </w:pPr>
      <w:r w:rsidRPr="007F1987">
        <w:rPr>
          <w:rFonts w:asciiTheme="minorHAnsi" w:hAnsiTheme="minorHAnsi"/>
          <w:color w:val="FFFFFF" w:themeColor="background1"/>
          <w:sz w:val="24"/>
          <w:szCs w:val="24"/>
        </w:rPr>
        <w:t>Form for approved SMSF auditors</w:t>
      </w:r>
    </w:p>
    <w:p w14:paraId="01944423" w14:textId="77777777" w:rsidR="00246328" w:rsidRDefault="00246328" w:rsidP="00246328"/>
    <w:p w14:paraId="0756B7AE" w14:textId="77777777" w:rsidR="00246328" w:rsidRDefault="00246328" w:rsidP="00246328"/>
    <w:p w14:paraId="0B06FC38" w14:textId="77777777" w:rsidR="00246328" w:rsidRDefault="00246328" w:rsidP="00246328"/>
    <w:p w14:paraId="1B59974B" w14:textId="24D14313" w:rsidR="00246328" w:rsidRPr="00246328" w:rsidRDefault="00246328" w:rsidP="00246328">
      <w:pPr>
        <w:sectPr w:rsidR="00246328" w:rsidRPr="00246328" w:rsidSect="00364CE1">
          <w:headerReference w:type="default" r:id="rId12"/>
          <w:footerReference w:type="default" r:id="rId13"/>
          <w:footerReference w:type="first" r:id="rId14"/>
          <w:pgSz w:w="11906" w:h="16838" w:code="9"/>
          <w:pgMar w:top="142" w:right="992" w:bottom="1418" w:left="992" w:header="510" w:footer="283" w:gutter="0"/>
          <w:cols w:space="708"/>
          <w:titlePg/>
          <w:docGrid w:linePitch="360"/>
        </w:sectPr>
      </w:pPr>
    </w:p>
    <w:p w14:paraId="69885C23" w14:textId="77777777" w:rsidR="006E37E6" w:rsidRDefault="00246328" w:rsidP="006E37E6">
      <w:pPr>
        <w:spacing w:before="120" w:after="240"/>
        <w:ind w:firstLine="340"/>
      </w:pPr>
      <w:r w:rsidRPr="00FE0F2D">
        <w:rPr>
          <w:rFonts w:ascii="Arial" w:hAnsi="Arial" w:cs="Arial"/>
          <w:noProof/>
          <w:sz w:val="22"/>
          <w:szCs w:val="22"/>
        </w:rPr>
        <w:drawing>
          <wp:anchor distT="0" distB="0" distL="114300" distR="114300" simplePos="0" relativeHeight="251659264" behindDoc="0" locked="0" layoutInCell="1" allowOverlap="1" wp14:anchorId="74871C7B" wp14:editId="7504971E">
            <wp:simplePos x="0" y="0"/>
            <wp:positionH relativeFrom="column">
              <wp:posOffset>-1767</wp:posOffset>
            </wp:positionH>
            <wp:positionV relativeFrom="paragraph">
              <wp:posOffset>3838</wp:posOffset>
            </wp:positionV>
            <wp:extent cx="176400" cy="176400"/>
            <wp:effectExtent l="0" t="0" r="0" b="0"/>
            <wp:wrapNone/>
            <wp:docPr id="5"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6400" cy="17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46328">
        <w:rPr>
          <w:b/>
          <w:bCs/>
        </w:rPr>
        <w:t>This approved form must be used for audits completed on or after 1 July 2024.</w:t>
      </w:r>
      <w:r w:rsidRPr="00246328">
        <w:t xml:space="preserve"> When</w:t>
      </w:r>
      <w:r>
        <w:t> </w:t>
      </w:r>
      <w:r w:rsidRPr="00246328">
        <w:t>using the form to complete audits for reporting periods ending on or before 30 June 2024 you must take care to comply with the auditing standards and legislation that applied to that earlier period.</w:t>
      </w:r>
    </w:p>
    <w:p w14:paraId="7EED66A1" w14:textId="2F43987C" w:rsidR="00246328" w:rsidRPr="00246328" w:rsidRDefault="00246328" w:rsidP="006E37E6">
      <w:pPr>
        <w:spacing w:before="120" w:after="240"/>
        <w:ind w:firstLine="340"/>
      </w:pPr>
      <w:r w:rsidRPr="00246328">
        <w:br w:type="column"/>
      </w:r>
      <w:r w:rsidRPr="00246328">
        <w:rPr>
          <w:noProof/>
        </w:rPr>
        <w:drawing>
          <wp:anchor distT="0" distB="0" distL="114300" distR="114300" simplePos="0" relativeHeight="251660288" behindDoc="0" locked="0" layoutInCell="1" allowOverlap="1" wp14:anchorId="3FA95F7E" wp14:editId="50945E1C">
            <wp:simplePos x="0" y="0"/>
            <wp:positionH relativeFrom="column">
              <wp:posOffset>3810</wp:posOffset>
            </wp:positionH>
            <wp:positionV relativeFrom="paragraph">
              <wp:posOffset>3810</wp:posOffset>
            </wp:positionV>
            <wp:extent cx="176400" cy="176400"/>
            <wp:effectExtent l="0" t="0" r="0" b="0"/>
            <wp:wrapNone/>
            <wp:docPr id="7"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6400" cy="17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46328">
        <w:t>This report will only be reissued when changes are made.</w:t>
      </w:r>
    </w:p>
    <w:p w14:paraId="4A7225AB" w14:textId="77777777" w:rsidR="00246328" w:rsidRDefault="00246328" w:rsidP="00246328">
      <w:pPr>
        <w:sectPr w:rsidR="00246328" w:rsidSect="00246328">
          <w:type w:val="continuous"/>
          <w:pgSz w:w="11906" w:h="16838" w:code="9"/>
          <w:pgMar w:top="1701" w:right="992" w:bottom="1418" w:left="992" w:header="567" w:footer="283" w:gutter="0"/>
          <w:cols w:num="2" w:space="708"/>
          <w:titlePg/>
          <w:docGrid w:linePitch="360"/>
        </w:sectPr>
      </w:pPr>
    </w:p>
    <w:p w14:paraId="1FA7C60B" w14:textId="77777777" w:rsidR="00786E74" w:rsidRPr="00FE0F2D" w:rsidRDefault="00786E74" w:rsidP="00786E74">
      <w:pPr>
        <w:pStyle w:val="Heading2"/>
        <w:spacing w:before="0"/>
      </w:pPr>
      <w:bookmarkStart w:id="0" w:name="_Hlk168639544"/>
      <w:r w:rsidRPr="00FE0F2D">
        <w:lastRenderedPageBreak/>
        <w:t xml:space="preserve">Our </w:t>
      </w:r>
      <w:r w:rsidRPr="00215896">
        <w:t>commitment</w:t>
      </w:r>
      <w:r w:rsidRPr="00FE0F2D">
        <w:t xml:space="preserve"> to you</w:t>
      </w:r>
    </w:p>
    <w:p w14:paraId="02655377" w14:textId="77777777" w:rsidR="00786E74" w:rsidRPr="00FE0F2D" w:rsidRDefault="00786E74" w:rsidP="00786E74">
      <w:r w:rsidRPr="00FE0F2D">
        <w:t xml:space="preserve">We are committed to providing you with accurate, </w:t>
      </w:r>
      <w:proofErr w:type="gramStart"/>
      <w:r w:rsidRPr="00FE0F2D">
        <w:t>consistent</w:t>
      </w:r>
      <w:proofErr w:type="gramEnd"/>
      <w:r w:rsidRPr="00FE0F2D">
        <w:t xml:space="preserve"> and clear information to help you understand your rights and entitlements and meet your obligations.</w:t>
      </w:r>
    </w:p>
    <w:p w14:paraId="043FA9F1" w14:textId="77777777" w:rsidR="00786E74" w:rsidRPr="00FE0F2D" w:rsidRDefault="00786E74" w:rsidP="00786E74">
      <w:r w:rsidRPr="00FE0F2D">
        <w:t>If you follow our information in this publication and it turns out to be incorrect or misleading, and you fail to comply with the law as a result, we must still apply the law correctly. However, we will take the fact that you followed our information into account when deciding what action, if any, we should take.</w:t>
      </w:r>
    </w:p>
    <w:p w14:paraId="19672E64" w14:textId="77777777" w:rsidR="00786E74" w:rsidRPr="00FE0F2D" w:rsidRDefault="00786E74" w:rsidP="00786E74">
      <w:r>
        <w:br w:type="column"/>
      </w:r>
      <w:r w:rsidRPr="00FE0F2D">
        <w:t>If you make an honest mistake in trying to follow our guidance in this publication and you fail to comply with the law as a result, we will take the reason for the mistake into account in deciding what action to take.</w:t>
      </w:r>
    </w:p>
    <w:p w14:paraId="266B6067" w14:textId="77777777" w:rsidR="00786E74" w:rsidRPr="00FE0F2D" w:rsidRDefault="00786E74" w:rsidP="00786E74">
      <w:r w:rsidRPr="00FE0F2D">
        <w:t xml:space="preserve">If you feel that this publication does not fully cover your circumstances, or you are unsure how it applies to you, you can seek further assistance from us. </w:t>
      </w:r>
    </w:p>
    <w:p w14:paraId="005E0ED9" w14:textId="77777777" w:rsidR="00786E74" w:rsidRPr="00FE0F2D" w:rsidRDefault="00786E74" w:rsidP="00786E74">
      <w:r w:rsidRPr="00FE0F2D">
        <w:t xml:space="preserve">We regularly revise our publications to take account of any changes to the law, so make sure that you have the latest information. If you are unsure, you can check for a more recent version on our website at </w:t>
      </w:r>
      <w:r w:rsidRPr="00FE0F2D">
        <w:rPr>
          <w:b/>
        </w:rPr>
        <w:t>ato.gov.au</w:t>
      </w:r>
      <w:r w:rsidRPr="00FE0F2D">
        <w:t xml:space="preserve"> or contact us.</w:t>
      </w:r>
    </w:p>
    <w:p w14:paraId="336C583D" w14:textId="77777777" w:rsidR="00786E74" w:rsidRPr="00FE0F2D" w:rsidRDefault="00786E74" w:rsidP="00786E74">
      <w:r w:rsidRPr="00FE0F2D">
        <w:t xml:space="preserve">This publication was current </w:t>
      </w:r>
      <w:proofErr w:type="gramStart"/>
      <w:r w:rsidRPr="00FE0F2D">
        <w:t>at</w:t>
      </w:r>
      <w:proofErr w:type="gramEnd"/>
      <w:r w:rsidRPr="00FE0F2D">
        <w:t xml:space="preserve"> </w:t>
      </w:r>
      <w:r>
        <w:rPr>
          <w:b/>
        </w:rPr>
        <w:t>June 2024</w:t>
      </w:r>
      <w:r w:rsidRPr="00FE0F2D">
        <w:rPr>
          <w:b/>
        </w:rPr>
        <w:t>.</w:t>
      </w:r>
    </w:p>
    <w:p w14:paraId="5E81DD3C" w14:textId="77777777" w:rsidR="00786E74" w:rsidRPr="00FE0F2D" w:rsidRDefault="00786E74" w:rsidP="00786E74"/>
    <w:p w14:paraId="371138CD" w14:textId="77777777" w:rsidR="00786E74" w:rsidRPr="00FE0F2D" w:rsidRDefault="00786E74" w:rsidP="00786E74">
      <w:pPr>
        <w:spacing w:before="120" w:after="240"/>
        <w:rPr>
          <w:rFonts w:ascii="Arial" w:hAnsi="Arial" w:cs="Arial"/>
          <w:b/>
          <w:sz w:val="22"/>
          <w:szCs w:val="22"/>
        </w:rPr>
        <w:sectPr w:rsidR="00786E74" w:rsidRPr="00FE0F2D" w:rsidSect="00364CE1">
          <w:pgSz w:w="11906" w:h="16838"/>
          <w:pgMar w:top="284" w:right="746" w:bottom="1440" w:left="900" w:header="426" w:footer="405" w:gutter="0"/>
          <w:pgNumType w:start="1"/>
          <w:cols w:num="2" w:space="709"/>
          <w:rtlGutter/>
          <w:docGrid w:linePitch="360"/>
        </w:sectPr>
      </w:pPr>
      <w:r w:rsidRPr="00FE0F2D">
        <w:rPr>
          <w:rFonts w:ascii="Arial" w:hAnsi="Arial" w:cs="Arial"/>
          <w:sz w:val="22"/>
          <w:szCs w:val="22"/>
        </w:rPr>
        <w:br w:type="page"/>
      </w:r>
    </w:p>
    <w:p w14:paraId="6AB13D31" w14:textId="7E0E0BB9" w:rsidR="00786E74" w:rsidRDefault="00786E74" w:rsidP="00D90E96">
      <w:pPr>
        <w:ind w:right="638"/>
      </w:pPr>
      <w:bookmarkStart w:id="1" w:name="_Hlk40269693"/>
    </w:p>
    <w:p w14:paraId="11F31131" w14:textId="6A044D3E" w:rsidR="00786E74" w:rsidRPr="00786E74" w:rsidRDefault="00D90E96" w:rsidP="00D90E96">
      <w:pPr>
        <w:pStyle w:val="Heading2"/>
        <w:spacing w:after="600" w:line="340" w:lineRule="exact"/>
        <w:rPr>
          <w:sz w:val="30"/>
          <w:szCs w:val="30"/>
        </w:rPr>
        <w:sectPr w:rsidR="00786E74" w:rsidRPr="00786E74" w:rsidSect="009F0603">
          <w:footerReference w:type="default" r:id="rId16"/>
          <w:type w:val="continuous"/>
          <w:pgSz w:w="11906" w:h="16838" w:code="9"/>
          <w:pgMar w:top="550" w:right="992" w:bottom="1418" w:left="992" w:header="284" w:footer="283" w:gutter="0"/>
          <w:cols w:num="2" w:space="1134" w:equalWidth="0">
            <w:col w:w="3062" w:space="1134"/>
            <w:col w:w="5726"/>
          </w:cols>
          <w:docGrid w:linePitch="360"/>
        </w:sectPr>
      </w:pPr>
      <w:r w:rsidRPr="00FE0F2D">
        <w:rPr>
          <w:noProof/>
        </w:rPr>
        <w:drawing>
          <wp:anchor distT="0" distB="0" distL="114300" distR="114300" simplePos="0" relativeHeight="251658240" behindDoc="0" locked="0" layoutInCell="1" allowOverlap="1" wp14:anchorId="6D5CD108" wp14:editId="38D11CB7">
            <wp:simplePos x="0" y="0"/>
            <wp:positionH relativeFrom="column">
              <wp:posOffset>-2665730</wp:posOffset>
            </wp:positionH>
            <wp:positionV relativeFrom="paragraph">
              <wp:posOffset>-118110</wp:posOffset>
            </wp:positionV>
            <wp:extent cx="2195830" cy="525145"/>
            <wp:effectExtent l="0" t="0" r="0" b="8255"/>
            <wp:wrapNone/>
            <wp:docPr id="6" name="Picture 6" descr="Australian Government, Australian Taxation Offi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O_inline-20mm.jpg"/>
                    <pic:cNvPicPr/>
                  </pic:nvPicPr>
                  <pic:blipFill>
                    <a:blip r:embed="rId17">
                      <a:extLst>
                        <a:ext uri="{28A0092B-C50C-407E-A947-70E740481C1C}">
                          <a14:useLocalDpi xmlns:a14="http://schemas.microsoft.com/office/drawing/2010/main" val="0"/>
                        </a:ext>
                      </a:extLst>
                    </a:blip>
                    <a:stretch>
                      <a:fillRect/>
                    </a:stretch>
                  </pic:blipFill>
                  <pic:spPr>
                    <a:xfrm>
                      <a:off x="0" y="0"/>
                      <a:ext cx="2195830" cy="525145"/>
                    </a:xfrm>
                    <a:prstGeom prst="rect">
                      <a:avLst/>
                    </a:prstGeom>
                  </pic:spPr>
                </pic:pic>
              </a:graphicData>
            </a:graphic>
            <wp14:sizeRelH relativeFrom="margin">
              <wp14:pctWidth>0</wp14:pctWidth>
            </wp14:sizeRelH>
            <wp14:sizeRelV relativeFrom="margin">
              <wp14:pctHeight>0</wp14:pctHeight>
            </wp14:sizeRelV>
          </wp:anchor>
        </w:drawing>
      </w:r>
      <w:r w:rsidR="006E37E6" w:rsidRPr="00786E74">
        <w:rPr>
          <w:sz w:val="30"/>
          <w:szCs w:val="30"/>
        </w:rPr>
        <w:t>Self-managed superannuation fund independent auditor’s report</w:t>
      </w:r>
    </w:p>
    <w:bookmarkEnd w:id="1"/>
    <w:p w14:paraId="2F7BBD8D" w14:textId="77777777" w:rsidR="00786E74" w:rsidRPr="00FE0F2D" w:rsidRDefault="00786E74" w:rsidP="001D4637">
      <w:pPr>
        <w:pBdr>
          <w:top w:val="single" w:sz="2" w:space="4" w:color="FFFFFF" w:themeColor="background1"/>
          <w:left w:val="single" w:sz="2" w:space="4" w:color="FFFFFF" w:themeColor="background1"/>
          <w:bottom w:val="single" w:sz="2" w:space="4" w:color="FFFFFF" w:themeColor="background1"/>
          <w:right w:val="single" w:sz="2" w:space="4" w:color="FFFFFF" w:themeColor="background1"/>
        </w:pBdr>
        <w:shd w:val="clear" w:color="auto" w:fill="CEEBF8" w:themeFill="accent2"/>
        <w:ind w:firstLine="340"/>
      </w:pPr>
      <w:r w:rsidRPr="00FE0F2D">
        <w:rPr>
          <w:noProof/>
        </w:rPr>
        <w:drawing>
          <wp:anchor distT="0" distB="0" distL="114300" distR="114300" simplePos="0" relativeHeight="251661312" behindDoc="0" locked="0" layoutInCell="1" allowOverlap="0" wp14:anchorId="5D4C429B" wp14:editId="67622391">
            <wp:simplePos x="0" y="0"/>
            <wp:positionH relativeFrom="column">
              <wp:posOffset>-1270</wp:posOffset>
            </wp:positionH>
            <wp:positionV relativeFrom="paragraph">
              <wp:posOffset>65101</wp:posOffset>
            </wp:positionV>
            <wp:extent cx="176400" cy="176400"/>
            <wp:effectExtent l="0" t="0" r="0" b="0"/>
            <wp:wrapNone/>
            <wp:docPr id="10" name="Pictur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3">
                      <a:extLst>
                        <a:ext uri="{C183D7F6-B498-43B3-948B-1728B52AA6E4}">
                          <adec:decorative xmlns:adec="http://schemas.microsoft.com/office/drawing/2017/decorative" val="1"/>
                        </a:ext>
                      </a:extLst>
                    </pic:cNvPr>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176400" cy="17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E0F2D">
        <w:t xml:space="preserve"> </w:t>
      </w:r>
      <w:r w:rsidRPr="00FE0F2D">
        <w:rPr>
          <w:b/>
        </w:rPr>
        <w:t>You must use this format</w:t>
      </w:r>
      <w:r w:rsidRPr="00FE0F2D">
        <w:t xml:space="preserve">. You don’t have to use this form, but you must not vary the wording except where the change does not change the </w:t>
      </w:r>
      <w:r w:rsidRPr="00A91049">
        <w:t>meaning</w:t>
      </w:r>
      <w:r w:rsidRPr="00FE0F2D">
        <w:t xml:space="preserve"> – for example, you can change a singular word into plural. Guidance is included in this form in italics. These can be removed from the final report.</w:t>
      </w:r>
    </w:p>
    <w:p w14:paraId="259F1F67" w14:textId="77777777" w:rsidR="00786E74" w:rsidRPr="00D90E96" w:rsidRDefault="00786E74" w:rsidP="00ED33BC">
      <w:pPr>
        <w:pStyle w:val="Heading2"/>
      </w:pPr>
      <w:r w:rsidRPr="00D90E96">
        <w:t xml:space="preserve">Approved self-managed superannuation fund (SMSF) auditor </w:t>
      </w:r>
      <w:proofErr w:type="gramStart"/>
      <w:r w:rsidRPr="00D90E96">
        <w:t>details</w:t>
      </w:r>
      <w:proofErr w:type="gramEnd"/>
    </w:p>
    <w:p w14:paraId="64847A46" w14:textId="77777777" w:rsidR="00786E74" w:rsidRPr="00793C6B" w:rsidRDefault="00786E74" w:rsidP="00D90E96">
      <w:pPr>
        <w:pStyle w:val="Formbodytab"/>
      </w:pPr>
      <w:r w:rsidRPr="00793C6B">
        <w:t xml:space="preserve">Name </w:t>
      </w:r>
      <w:r>
        <w:tab/>
      </w:r>
    </w:p>
    <w:p w14:paraId="4953B0B0" w14:textId="77777777" w:rsidR="00786E74" w:rsidRPr="00793C6B" w:rsidRDefault="00786E74" w:rsidP="00D90E96">
      <w:pPr>
        <w:pStyle w:val="Formbodytab"/>
      </w:pPr>
      <w:r w:rsidRPr="00793C6B">
        <w:t xml:space="preserve">Business name </w:t>
      </w:r>
      <w:r>
        <w:tab/>
      </w:r>
    </w:p>
    <w:p w14:paraId="2AAE20F0" w14:textId="77777777" w:rsidR="00786E74" w:rsidRPr="00793C6B" w:rsidRDefault="00786E74" w:rsidP="00D90E96">
      <w:pPr>
        <w:pStyle w:val="Formbodytab"/>
      </w:pPr>
      <w:r w:rsidRPr="00793C6B">
        <w:t xml:space="preserve">Business postal address </w:t>
      </w:r>
      <w:r>
        <w:tab/>
      </w:r>
    </w:p>
    <w:p w14:paraId="75325839" w14:textId="77777777" w:rsidR="00786E74" w:rsidRPr="00793C6B" w:rsidRDefault="00786E74" w:rsidP="00D90E96">
      <w:pPr>
        <w:pStyle w:val="Formbodytab"/>
      </w:pPr>
      <w:r w:rsidRPr="00793C6B">
        <w:t xml:space="preserve">SMSF auditor number (SAN) </w:t>
      </w:r>
      <w:r>
        <w:tab/>
      </w:r>
    </w:p>
    <w:p w14:paraId="276F7606" w14:textId="77777777" w:rsidR="00786E74" w:rsidRPr="00793C6B" w:rsidRDefault="00786E74" w:rsidP="00ED33BC">
      <w:pPr>
        <w:pStyle w:val="Heading2"/>
      </w:pPr>
      <w:r>
        <w:t>SMSF</w:t>
      </w:r>
      <w:r w:rsidRPr="00793C6B">
        <w:t xml:space="preserve"> details</w:t>
      </w:r>
    </w:p>
    <w:p w14:paraId="7A0F8CA2" w14:textId="77777777" w:rsidR="00786E74" w:rsidRPr="00793C6B" w:rsidRDefault="00786E74" w:rsidP="00D90E96">
      <w:pPr>
        <w:pStyle w:val="Formbodytab"/>
      </w:pPr>
      <w:r>
        <w:t>F</w:t>
      </w:r>
      <w:r w:rsidRPr="00793C6B">
        <w:t xml:space="preserve">und name </w:t>
      </w:r>
      <w:r>
        <w:tab/>
      </w:r>
    </w:p>
    <w:p w14:paraId="4193157E" w14:textId="77777777" w:rsidR="00786E74" w:rsidRPr="00793C6B" w:rsidRDefault="00786E74" w:rsidP="00D90E96">
      <w:pPr>
        <w:pStyle w:val="Formbodytab"/>
      </w:pPr>
      <w:r w:rsidRPr="00793C6B">
        <w:t xml:space="preserve">Australian business number (ABN) or tax file number (TFN) </w:t>
      </w:r>
      <w:r>
        <w:tab/>
      </w:r>
    </w:p>
    <w:p w14:paraId="42AC5951" w14:textId="77777777" w:rsidR="00786E74" w:rsidRPr="00793C6B" w:rsidRDefault="00786E74" w:rsidP="00D90E96">
      <w:pPr>
        <w:pStyle w:val="Formbodytab"/>
      </w:pPr>
      <w:r>
        <w:t>Fund a</w:t>
      </w:r>
      <w:r w:rsidRPr="00793C6B">
        <w:t xml:space="preserve">ddress </w:t>
      </w:r>
      <w:r>
        <w:tab/>
      </w:r>
    </w:p>
    <w:p w14:paraId="68EB4A65" w14:textId="77777777" w:rsidR="00786E74" w:rsidRPr="00793C6B" w:rsidRDefault="00786E74" w:rsidP="00D90E96">
      <w:pPr>
        <w:pStyle w:val="Formbodytab"/>
      </w:pPr>
      <w:r w:rsidRPr="00793C6B">
        <w:t xml:space="preserve">Year of income being </w:t>
      </w:r>
      <w:proofErr w:type="gramStart"/>
      <w:r w:rsidRPr="00793C6B">
        <w:t>audited</w:t>
      </w:r>
      <w:proofErr w:type="gramEnd"/>
      <w:r w:rsidRPr="00793C6B">
        <w:t xml:space="preserve"> </w:t>
      </w:r>
      <w:r>
        <w:tab/>
      </w:r>
    </w:p>
    <w:p w14:paraId="2591F9F5" w14:textId="77777777" w:rsidR="00786E74" w:rsidRPr="00FE0F2D" w:rsidRDefault="00786E74" w:rsidP="00D90E96">
      <w:pPr>
        <w:pStyle w:val="Heading3"/>
      </w:pPr>
      <w:r w:rsidRPr="00FE0F2D">
        <w:t xml:space="preserve">To the SMSF </w:t>
      </w:r>
      <w:r w:rsidRPr="00D90E96">
        <w:t>trustees</w:t>
      </w:r>
    </w:p>
    <w:p w14:paraId="67A1769D" w14:textId="03436AE3" w:rsidR="00D90E96" w:rsidRDefault="00786E74" w:rsidP="00ED33BC">
      <w:pPr>
        <w:pStyle w:val="Formbodytab"/>
      </w:pPr>
      <w:r w:rsidRPr="00FE0F2D">
        <w:t xml:space="preserve">of the </w:t>
      </w:r>
      <w:r w:rsidR="00D90E96">
        <w:tab/>
      </w:r>
    </w:p>
    <w:p w14:paraId="6C2EE9BE" w14:textId="08BEECC3" w:rsidR="00786E74" w:rsidRPr="00D90E96" w:rsidRDefault="00786E74" w:rsidP="00ED33BC">
      <w:pPr>
        <w:pStyle w:val="Formbodysmall"/>
      </w:pPr>
      <w:r w:rsidRPr="00D90E96">
        <w:t>[SMSF name]</w:t>
      </w:r>
    </w:p>
    <w:p w14:paraId="5ECA11A3" w14:textId="77777777" w:rsidR="00786E74" w:rsidRPr="00D90E96" w:rsidRDefault="00786E74" w:rsidP="00D90E96">
      <w:pPr>
        <w:pStyle w:val="Heading2"/>
      </w:pPr>
      <w:r w:rsidRPr="00D90E96">
        <w:br w:type="page"/>
        <w:t>Part A: Financial audit</w:t>
      </w:r>
    </w:p>
    <w:p w14:paraId="09137E8C" w14:textId="77777777" w:rsidR="00786E74" w:rsidRPr="000F35F3" w:rsidRDefault="00786E74" w:rsidP="00D90E96">
      <w:pPr>
        <w:pStyle w:val="Heading3"/>
        <w:rPr>
          <w:sz w:val="22"/>
          <w:szCs w:val="22"/>
        </w:rPr>
      </w:pPr>
      <w:r w:rsidRPr="00FE0F2D">
        <w:t xml:space="preserve">Opinion </w:t>
      </w:r>
      <w:r w:rsidRPr="00B41A29">
        <w:t>[</w:t>
      </w:r>
      <w:r w:rsidRPr="00FE0F2D">
        <w:t xml:space="preserve">Qualified </w:t>
      </w:r>
      <w:r w:rsidRPr="00B41A29">
        <w:t>Opinion</w:t>
      </w:r>
      <w:r w:rsidRPr="00FE0F2D">
        <w:t>/</w:t>
      </w:r>
      <w:r w:rsidRPr="00B41A29">
        <w:t>Disclaimer</w:t>
      </w:r>
      <w:r w:rsidRPr="00FE0F2D">
        <w:t xml:space="preserve"> of Opinion/Adverse Opinion (*)]</w:t>
      </w:r>
      <w:r w:rsidRPr="00FE0F2D">
        <w:rPr>
          <w:rStyle w:val="FootnoteReference"/>
          <w:rFonts w:cs="Arial"/>
        </w:rPr>
        <w:footnoteReference w:id="2"/>
      </w:r>
      <w:r w:rsidRPr="000F35F3">
        <w:rPr>
          <w:sz w:val="22"/>
          <w:szCs w:val="22"/>
        </w:rPr>
        <w:t xml:space="preserve"> </w:t>
      </w:r>
    </w:p>
    <w:p w14:paraId="4BEA7CA7" w14:textId="77777777" w:rsidR="00786E74" w:rsidRPr="00FE0F2D" w:rsidRDefault="00786E74" w:rsidP="00D90E96">
      <w:r w:rsidRPr="00FE0F2D">
        <w:t>I have audited</w:t>
      </w:r>
      <w:r w:rsidRPr="00FE0F2D">
        <w:rPr>
          <w:rStyle w:val="FootnoteReference"/>
          <w:rFonts w:ascii="Arial" w:hAnsi="Arial" w:cs="Arial"/>
          <w:sz w:val="22"/>
          <w:szCs w:val="22"/>
        </w:rPr>
        <w:footnoteReference w:id="3"/>
      </w:r>
      <w:r w:rsidRPr="00FE0F2D">
        <w:t xml:space="preserve"> the special purpose financial report of the </w:t>
      </w:r>
      <w:r w:rsidRPr="00AF4C84">
        <w:rPr>
          <w:i/>
          <w:iCs/>
        </w:rPr>
        <w:t>(</w:t>
      </w:r>
      <w:r w:rsidRPr="00FE0F2D">
        <w:rPr>
          <w:i/>
        </w:rPr>
        <w:t>name of superannuation fund</w:t>
      </w:r>
      <w:r w:rsidRPr="00AF4C84">
        <w:rPr>
          <w:i/>
          <w:iCs/>
        </w:rPr>
        <w:t>)</w:t>
      </w:r>
      <w:r w:rsidRPr="00FE0F2D">
        <w:t xml:space="preserve"> </w:t>
      </w:r>
      <w:proofErr w:type="gramStart"/>
      <w:r w:rsidRPr="00FE0F2D">
        <w:t>comprising</w:t>
      </w:r>
      <w:proofErr w:type="gramEnd"/>
    </w:p>
    <w:p w14:paraId="7DBCEA8E" w14:textId="77777777" w:rsidR="00786E74" w:rsidRPr="00793C6B" w:rsidRDefault="00786E74" w:rsidP="00D90E96">
      <w:pPr>
        <w:pStyle w:val="Formbodytab"/>
      </w:pPr>
      <w:r>
        <w:tab/>
      </w:r>
    </w:p>
    <w:p w14:paraId="537F4C43" w14:textId="77777777" w:rsidR="00786E74" w:rsidRPr="00793C6B" w:rsidRDefault="00786E74" w:rsidP="00D90E96">
      <w:pPr>
        <w:pStyle w:val="Formbodytab"/>
        <w:spacing w:after="60"/>
      </w:pPr>
      <w:r>
        <w:tab/>
      </w:r>
    </w:p>
    <w:p w14:paraId="559D77C9" w14:textId="77777777" w:rsidR="00786E74" w:rsidRPr="00D90E96" w:rsidRDefault="00786E74" w:rsidP="00ED33BC">
      <w:pPr>
        <w:pStyle w:val="Formbodysmall"/>
      </w:pPr>
      <w:r w:rsidRPr="00D90E96">
        <w:t xml:space="preserve">[Insert the title of the financial statements </w:t>
      </w:r>
      <w:r w:rsidRPr="00ED33BC">
        <w:t>audited</w:t>
      </w:r>
      <w:r w:rsidRPr="00D90E96">
        <w:t xml:space="preserve"> and relevant years including reference to the summary of significant accounting policies and other explanatory notes in the financial report]</w:t>
      </w:r>
    </w:p>
    <w:p w14:paraId="150944DF" w14:textId="071CA724" w:rsidR="00786E74" w:rsidRPr="00FE0F2D" w:rsidRDefault="00786E74" w:rsidP="00D90E96">
      <w:r w:rsidRPr="00FE0F2D">
        <w:rPr>
          <w:i/>
        </w:rPr>
        <w:t xml:space="preserve">[For example: </w:t>
      </w:r>
      <w:r>
        <w:rPr>
          <w:i/>
        </w:rPr>
        <w:t>‘</w:t>
      </w:r>
      <w:r w:rsidRPr="00087E6D">
        <w:rPr>
          <w:i/>
        </w:rPr>
        <w:t>the</w:t>
      </w:r>
      <w:r w:rsidRPr="00FE0F2D">
        <w:rPr>
          <w:i/>
        </w:rPr>
        <w:t xml:space="preserve"> statement of financial position as </w:t>
      </w:r>
      <w:proofErr w:type="gramStart"/>
      <w:r w:rsidRPr="00FE0F2D">
        <w:rPr>
          <w:i/>
        </w:rPr>
        <w:t>at</w:t>
      </w:r>
      <w:proofErr w:type="gramEnd"/>
      <w:r w:rsidRPr="00FE0F2D">
        <w:rPr>
          <w:i/>
        </w:rPr>
        <w:t xml:space="preserve"> </w:t>
      </w:r>
      <w:r w:rsidRPr="00FE0F2D">
        <w:t>30</w:t>
      </w:r>
      <w:r>
        <w:t> </w:t>
      </w:r>
      <w:r w:rsidRPr="00FE0F2D">
        <w:t xml:space="preserve">June </w:t>
      </w:r>
      <w:r w:rsidRPr="00FE0F2D">
        <w:rPr>
          <w:i/>
          <w:sz w:val="18"/>
          <w:szCs w:val="18"/>
        </w:rPr>
        <w:t>____ [year],</w:t>
      </w:r>
      <w:r w:rsidRPr="00FE0F2D">
        <w:t xml:space="preserve"> </w:t>
      </w:r>
      <w:r w:rsidRPr="00FE0F2D">
        <w:rPr>
          <w:i/>
        </w:rPr>
        <w:t>and the operating statement, a summary of significant accounting policies and other explanatory notes.’]</w:t>
      </w:r>
      <w:r w:rsidRPr="00FE0F2D">
        <w:t xml:space="preserve"> </w:t>
      </w:r>
    </w:p>
    <w:p w14:paraId="1FA3D33D" w14:textId="77777777" w:rsidR="00786E74" w:rsidRPr="00FE0F2D" w:rsidRDefault="00786E74" w:rsidP="00D90E96">
      <w:r w:rsidRPr="00FE0F2D">
        <w:t xml:space="preserve">In my opinion, </w:t>
      </w:r>
      <w:r w:rsidRPr="00FE0F2D">
        <w:rPr>
          <w:i/>
        </w:rPr>
        <w:t xml:space="preserve">[Qualified: </w:t>
      </w:r>
      <w:r w:rsidRPr="00FE0F2D">
        <w:rPr>
          <w:i/>
          <w:iCs/>
        </w:rPr>
        <w:t xml:space="preserve">except for the effects on the financial report of the matter/s referred to in the </w:t>
      </w:r>
      <w:r w:rsidRPr="00F14FC5">
        <w:rPr>
          <w:b/>
          <w:bCs/>
          <w:i/>
          <w:iCs/>
        </w:rPr>
        <w:t xml:space="preserve">Basis of Qualified Opinion </w:t>
      </w:r>
      <w:r w:rsidRPr="00FE0F2D">
        <w:rPr>
          <w:i/>
          <w:iCs/>
        </w:rPr>
        <w:t xml:space="preserve">section of my report below] </w:t>
      </w:r>
      <w:r w:rsidRPr="00FE0F2D">
        <w:rPr>
          <w:iCs/>
        </w:rPr>
        <w:t>(*)</w:t>
      </w:r>
      <w:r w:rsidRPr="00FE0F2D">
        <w:t xml:space="preserve"> the financial report </w:t>
      </w:r>
      <w:r w:rsidRPr="00FE0F2D">
        <w:rPr>
          <w:i/>
        </w:rPr>
        <w:t>[Adverse: does not</w:t>
      </w:r>
      <w:r w:rsidRPr="00FE0F2D">
        <w:rPr>
          <w:i/>
          <w:iCs/>
        </w:rPr>
        <w:t xml:space="preserve">] </w:t>
      </w:r>
      <w:r w:rsidRPr="00FE0F2D">
        <w:t>(*) presents fairly in all material respects, in accordance with the accounting policies described in the notes to the financial report:</w:t>
      </w:r>
      <w:r w:rsidRPr="00FE0F2D">
        <w:rPr>
          <w:rStyle w:val="FootnoteReference"/>
          <w:rFonts w:ascii="Arial" w:hAnsi="Arial" w:cs="Arial"/>
          <w:sz w:val="22"/>
          <w:szCs w:val="22"/>
        </w:rPr>
        <w:footnoteReference w:id="4"/>
      </w:r>
      <w:r w:rsidRPr="00FE0F2D" w:rsidDel="00C625DB">
        <w:t xml:space="preserve"> </w:t>
      </w:r>
    </w:p>
    <w:p w14:paraId="6AEB95C9" w14:textId="77777777" w:rsidR="00786E74" w:rsidRPr="00FE0F2D" w:rsidRDefault="00786E74" w:rsidP="00D90E96">
      <w:pPr>
        <w:rPr>
          <w:i/>
        </w:rPr>
      </w:pPr>
      <w:r w:rsidRPr="00FE0F2D">
        <w:rPr>
          <w:i/>
        </w:rPr>
        <w:t>[Select one option]</w:t>
      </w:r>
    </w:p>
    <w:p w14:paraId="6ADE3CEC" w14:textId="77777777" w:rsidR="00786E74" w:rsidRPr="00FE0F2D" w:rsidRDefault="00786E74" w:rsidP="00D90E96">
      <w:pPr>
        <w:rPr>
          <w:sz w:val="18"/>
          <w:szCs w:val="18"/>
        </w:rPr>
      </w:pPr>
      <w:r w:rsidRPr="00FE0F2D">
        <w:t xml:space="preserve">a), the financial position of the fund </w:t>
      </w:r>
      <w:proofErr w:type="gramStart"/>
      <w:r w:rsidRPr="00FE0F2D">
        <w:t>at</w:t>
      </w:r>
      <w:proofErr w:type="gramEnd"/>
      <w:r w:rsidRPr="00FE0F2D">
        <w:t xml:space="preserve"> 30 June ___ </w:t>
      </w:r>
      <w:r w:rsidRPr="00FE0F2D">
        <w:rPr>
          <w:i/>
          <w:iCs/>
          <w:sz w:val="18"/>
          <w:szCs w:val="18"/>
        </w:rPr>
        <w:t>[year]</w:t>
      </w:r>
      <w:r w:rsidRPr="00FE0F2D">
        <w:t xml:space="preserve"> and the results of its operations for the year then ended. </w:t>
      </w:r>
    </w:p>
    <w:p w14:paraId="6AD42224" w14:textId="77777777" w:rsidR="00786E74" w:rsidRPr="00AF4C84" w:rsidRDefault="00786E74" w:rsidP="00AF4C84">
      <w:pPr>
        <w:rPr>
          <w:i/>
          <w:iCs/>
        </w:rPr>
      </w:pPr>
      <w:r w:rsidRPr="00AF4C84">
        <w:rPr>
          <w:i/>
          <w:iCs/>
        </w:rPr>
        <w:t>OR</w:t>
      </w:r>
    </w:p>
    <w:p w14:paraId="672EBB62" w14:textId="77777777" w:rsidR="00786E74" w:rsidRPr="00FE0F2D" w:rsidRDefault="00786E74" w:rsidP="00D90E96">
      <w:pPr>
        <w:rPr>
          <w:i/>
          <w:sz w:val="18"/>
          <w:szCs w:val="18"/>
        </w:rPr>
      </w:pPr>
      <w:r w:rsidRPr="00FE0F2D">
        <w:t xml:space="preserve">b), the net assets of the fund as </w:t>
      </w:r>
      <w:proofErr w:type="gramStart"/>
      <w:r w:rsidRPr="00FE0F2D">
        <w:t>at</w:t>
      </w:r>
      <w:proofErr w:type="gramEnd"/>
      <w:r w:rsidRPr="00FE0F2D">
        <w:t xml:space="preserve"> 30 June ___ </w:t>
      </w:r>
      <w:r w:rsidRPr="00FE0F2D">
        <w:rPr>
          <w:i/>
          <w:iCs/>
          <w:sz w:val="18"/>
          <w:szCs w:val="18"/>
        </w:rPr>
        <w:t>[year]</w:t>
      </w:r>
      <w:r w:rsidRPr="00FE0F2D">
        <w:t xml:space="preserve"> and the changes in net assets for the year then ended. </w:t>
      </w:r>
    </w:p>
    <w:p w14:paraId="06D785A2" w14:textId="77777777" w:rsidR="00786E74" w:rsidRPr="00FE0F2D" w:rsidRDefault="00786E74" w:rsidP="00AF4C84">
      <w:pPr>
        <w:pStyle w:val="Heading3"/>
      </w:pPr>
      <w:r w:rsidRPr="00FE0F2D">
        <w:t>Basis for Opinion [Basis for Qualified Opinion/Basis for Disclaimer of Opinion</w:t>
      </w:r>
      <w:r w:rsidRPr="00FE0F2D">
        <w:rPr>
          <w:rStyle w:val="FootnoteReference"/>
          <w:rFonts w:cs="Arial"/>
        </w:rPr>
        <w:footnoteReference w:id="5"/>
      </w:r>
      <w:r w:rsidRPr="00FE0F2D">
        <w:t>/Basis for Adverse Opinion] (*)</w:t>
      </w:r>
      <w:r>
        <w:t xml:space="preserve"> </w:t>
      </w:r>
    </w:p>
    <w:p w14:paraId="152E41F7" w14:textId="77777777" w:rsidR="00786E74" w:rsidRPr="00793C6B" w:rsidRDefault="00786E74" w:rsidP="00EC6E09">
      <w:pPr>
        <w:pStyle w:val="Formbodytab"/>
      </w:pPr>
      <w:r>
        <w:tab/>
      </w:r>
    </w:p>
    <w:p w14:paraId="2AA5575B" w14:textId="77777777" w:rsidR="00786E74" w:rsidRPr="00793C6B" w:rsidRDefault="00786E74" w:rsidP="00EC6E09">
      <w:pPr>
        <w:pStyle w:val="Formbodytab"/>
      </w:pPr>
      <w:r>
        <w:tab/>
      </w:r>
    </w:p>
    <w:p w14:paraId="2415017F" w14:textId="77777777" w:rsidR="00786E74" w:rsidRPr="00FE0F2D" w:rsidRDefault="00786E74" w:rsidP="00ED33BC">
      <w:pPr>
        <w:pStyle w:val="Formbodysmall"/>
      </w:pPr>
      <w:r w:rsidRPr="00FE0F2D">
        <w:t>(*) [Include a description of the matter giving rise to the qualified/adverse opinion]</w:t>
      </w:r>
      <w:r w:rsidRPr="00FE0F2D" w:rsidDel="00BB5798">
        <w:t xml:space="preserve"> </w:t>
      </w:r>
    </w:p>
    <w:p w14:paraId="54E72AE5" w14:textId="77777777" w:rsidR="00786E74" w:rsidRDefault="00786E74" w:rsidP="00913A5C">
      <w:r w:rsidRPr="00FE0F2D" w:rsidDel="00D72074">
        <w:t>My audit has been conducted in accordance with Australian Auditing Standards</w:t>
      </w:r>
      <w:r>
        <w:t xml:space="preserve"> (issued by the Auditing and Assurance Standards Board)</w:t>
      </w:r>
      <w:r w:rsidRPr="00FE0F2D" w:rsidDel="00D72074">
        <w:t>.</w:t>
      </w:r>
      <w:r w:rsidRPr="00FE0F2D" w:rsidDel="00D72074">
        <w:rPr>
          <w:rStyle w:val="FootnoteReference"/>
          <w:rFonts w:ascii="Arial" w:hAnsi="Arial" w:cs="Arial"/>
          <w:sz w:val="22"/>
          <w:szCs w:val="22"/>
        </w:rPr>
        <w:footnoteReference w:id="6"/>
      </w:r>
      <w:r>
        <w:t xml:space="preserve"> </w:t>
      </w:r>
      <w:r w:rsidRPr="00FE0F2D" w:rsidDel="00D72074">
        <w:t xml:space="preserve">My responsibilities under those standards are further described in the </w:t>
      </w:r>
      <w:r w:rsidRPr="00FE0F2D" w:rsidDel="00D72074">
        <w:rPr>
          <w:i/>
        </w:rPr>
        <w:t>Approved SMSF Auditor’s Responsibilities for the Audit of the Financial Report</w:t>
      </w:r>
      <w:r w:rsidRPr="00FE0F2D" w:rsidDel="00D72074">
        <w:t xml:space="preserve"> section of this report. </w:t>
      </w:r>
    </w:p>
    <w:p w14:paraId="43657127" w14:textId="77777777" w:rsidR="00786E74" w:rsidRPr="00F14FC5" w:rsidRDefault="00786E74" w:rsidP="00913A5C">
      <w:r w:rsidRPr="00FE0F2D">
        <w:t>I am independent of the SMSF in accordance with the auditor independence requirements of the Accounting Professional and Ethical Standards Board’s APES</w:t>
      </w:r>
      <w:r>
        <w:t> </w:t>
      </w:r>
      <w:r w:rsidRPr="00FE0F2D">
        <w:t xml:space="preserve">110 </w:t>
      </w:r>
      <w:r w:rsidRPr="00FE0F2D">
        <w:rPr>
          <w:i/>
        </w:rPr>
        <w:t xml:space="preserve">Code of Ethics for Professional Accountants (including Independence Standards) </w:t>
      </w:r>
      <w:r w:rsidRPr="00FE0F2D">
        <w:t xml:space="preserve">(the Code) that are relevant to this audit and as required by the </w:t>
      </w:r>
      <w:r w:rsidRPr="00FE0F2D">
        <w:rPr>
          <w:i/>
        </w:rPr>
        <w:t>Superannuation Industry (Supervision) Regulations 1994</w:t>
      </w:r>
      <w:r w:rsidRPr="00FE0F2D">
        <w:t xml:space="preserve"> (SISR). I have also fulfilled my other ethical responsibilities in accordance with the Code.</w:t>
      </w:r>
      <w:r w:rsidRPr="00F14FC5">
        <w:t xml:space="preserve"> </w:t>
      </w:r>
      <w:bookmarkStart w:id="2" w:name="_Hlk71273629"/>
      <w:proofErr w:type="gramStart"/>
      <w:r w:rsidRPr="00F14FC5">
        <w:t>In particular, neither</w:t>
      </w:r>
      <w:proofErr w:type="gramEnd"/>
      <w:r w:rsidRPr="00F14FC5">
        <w:t xml:space="preserve"> myself, my firm or my network firm assumed a management responsibility for the fund. My firm or network firm </w:t>
      </w:r>
      <w:r w:rsidRPr="00F14FC5">
        <w:rPr>
          <w:i/>
          <w:iCs/>
        </w:rPr>
        <w:t>[select the appropriate option]</w:t>
      </w:r>
      <w:r w:rsidRPr="00F14FC5">
        <w:t xml:space="preserve"> (did not prepare the financial statements for the fund/did prepare the financial statements for the SMSF but it was only a routine or mechanical service and appropriate safeguards were applied). Where my firm or network firm provided any other non-assurance services to the fund, we are satisfied that </w:t>
      </w:r>
      <w:r w:rsidRPr="00913A5C">
        <w:t>those</w:t>
      </w:r>
      <w:r w:rsidRPr="00F14FC5">
        <w:t xml:space="preserve"> services were not prohibited under the Code and any independence threats arising have been eliminated or reduced to an acceptable level by the application of safeguards.</w:t>
      </w:r>
    </w:p>
    <w:bookmarkEnd w:id="2"/>
    <w:p w14:paraId="25B2B678" w14:textId="77777777" w:rsidR="00786E74" w:rsidRPr="00FE0F2D" w:rsidRDefault="00786E74" w:rsidP="00913A5C">
      <w:r w:rsidRPr="009C291A">
        <w:t xml:space="preserve">I believe that the audit evidence I have obtained is sufficient and appropriate to provide a basis for my </w:t>
      </w:r>
      <w:r w:rsidRPr="00991AB6">
        <w:rPr>
          <w:i/>
        </w:rPr>
        <w:t>[qualified/adverse]</w:t>
      </w:r>
      <w:r w:rsidRPr="00FE0F2D">
        <w:rPr>
          <w:i/>
        </w:rPr>
        <w:t xml:space="preserve"> </w:t>
      </w:r>
      <w:r w:rsidRPr="00FE0F2D">
        <w:rPr>
          <w:iCs/>
        </w:rPr>
        <w:t>(*)</w:t>
      </w:r>
      <w:r w:rsidRPr="00FE0F2D">
        <w:rPr>
          <w:i/>
        </w:rPr>
        <w:t xml:space="preserve"> </w:t>
      </w:r>
      <w:r w:rsidRPr="00FE0F2D">
        <w:t>opinion.</w:t>
      </w:r>
    </w:p>
    <w:p w14:paraId="540ED024" w14:textId="77777777" w:rsidR="00786E74" w:rsidRPr="00913A5C" w:rsidRDefault="00786E74" w:rsidP="00913A5C">
      <w:pPr>
        <w:rPr>
          <w:i/>
          <w:iCs/>
        </w:rPr>
      </w:pPr>
      <w:r w:rsidRPr="00913A5C">
        <w:rPr>
          <w:i/>
          <w:iCs/>
        </w:rPr>
        <w:t xml:space="preserve">[The following </w:t>
      </w:r>
      <w:r w:rsidRPr="00913A5C">
        <w:rPr>
          <w:b/>
          <w:bCs/>
          <w:i/>
          <w:iCs/>
        </w:rPr>
        <w:t>Emphasis of Matter – Basis of accounting</w:t>
      </w:r>
      <w:r w:rsidRPr="00913A5C">
        <w:rPr>
          <w:i/>
          <w:iCs/>
        </w:rPr>
        <w:t xml:space="preserve"> section is required if the audit report is for a reporting period commencing on and from 1 January 2010, otherwise delete it.]</w:t>
      </w:r>
    </w:p>
    <w:p w14:paraId="5753D7E8" w14:textId="77777777" w:rsidR="00786E74" w:rsidRPr="00FE0F2D" w:rsidRDefault="00786E74" w:rsidP="00786E74">
      <w:pPr>
        <w:pStyle w:val="Heading3"/>
      </w:pPr>
      <w:r w:rsidRPr="00FE0F2D">
        <w:t>Emphasis of Matter – Basis of accounting</w:t>
      </w:r>
    </w:p>
    <w:p w14:paraId="468ECF86" w14:textId="77777777" w:rsidR="00786E74" w:rsidRPr="00FE0F2D" w:rsidRDefault="00786E74" w:rsidP="00913A5C">
      <w:r w:rsidRPr="00FE0F2D">
        <w:t xml:space="preserve">I draw attention to note </w:t>
      </w:r>
      <w:proofErr w:type="gramStart"/>
      <w:r w:rsidRPr="00FE0F2D">
        <w:t>[ ]</w:t>
      </w:r>
      <w:proofErr w:type="gramEnd"/>
      <w:r w:rsidRPr="00FE0F2D">
        <w:t xml:space="preserve"> of the financial report, which describes the basis of accounting. The financial report has been prepared to assist </w:t>
      </w:r>
      <w:r w:rsidRPr="00913A5C">
        <w:rPr>
          <w:i/>
          <w:iCs/>
        </w:rPr>
        <w:t>(</w:t>
      </w:r>
      <w:r w:rsidRPr="00FE0F2D">
        <w:rPr>
          <w:i/>
        </w:rPr>
        <w:t>name of superannuation fund</w:t>
      </w:r>
      <w:r w:rsidRPr="00913A5C">
        <w:rPr>
          <w:i/>
          <w:iCs/>
        </w:rPr>
        <w:t>)</w:t>
      </w:r>
      <w:r w:rsidRPr="00FE0F2D">
        <w:t xml:space="preserve"> meet the requirements of the SMSF’s governing rules, the </w:t>
      </w:r>
      <w:r w:rsidRPr="00FE0F2D">
        <w:rPr>
          <w:i/>
        </w:rPr>
        <w:t>Superannuation Industry (Supervision) Act 1993</w:t>
      </w:r>
      <w:r w:rsidRPr="00FE0F2D">
        <w:t xml:space="preserve"> (SISA) and the SISR. As a result, the financial report may not be suitable for other purposes and should not be distributed to parties other than the trustees. </w:t>
      </w:r>
      <w:proofErr w:type="gramStart"/>
      <w:r w:rsidRPr="00FE0F2D">
        <w:t>My opinion is not</w:t>
      </w:r>
      <w:proofErr w:type="gramEnd"/>
      <w:r w:rsidRPr="00FE0F2D">
        <w:t xml:space="preserve"> modified in respect of this matter.</w:t>
      </w:r>
    </w:p>
    <w:p w14:paraId="6FBC2543" w14:textId="77777777" w:rsidR="00786E74" w:rsidRPr="00FE0F2D" w:rsidRDefault="00786E74" w:rsidP="00786E74">
      <w:pPr>
        <w:pStyle w:val="Heading3"/>
      </w:pPr>
      <w:r w:rsidRPr="00FE0F2D">
        <w:t>Responsibilities of SMSF trustees for the financial report</w:t>
      </w:r>
    </w:p>
    <w:p w14:paraId="1FEE7686" w14:textId="77777777" w:rsidR="00786E74" w:rsidRPr="00FE0F2D" w:rsidRDefault="00786E74" w:rsidP="00913A5C">
      <w:r w:rsidRPr="00FE0F2D">
        <w:t>Each SMSF trustee (individual trustee or director of the corporate trustee) is responsible for the preparation and fair presentation of the financial report in accordance with the financial reporting requirements of the SMSF’s governing rules, the SISA and the SISR. Each trustee is also responsible for such internal controls as they determine are necessary to enable the preparation and fair presentation of a financial report that is free from material misstatement, whether due to fraud or error.</w:t>
      </w:r>
    </w:p>
    <w:p w14:paraId="1A45BDD6" w14:textId="77777777" w:rsidR="00786E74" w:rsidRPr="00FE0F2D" w:rsidRDefault="00786E74" w:rsidP="00913A5C">
      <w:r w:rsidRPr="00FE0F2D">
        <w:t>In preparing the financial report, the trustees are responsible for assessing the fund’s ability to continue as a going concern, disclosing, as applicable, matters relating to going concern and using the going concern basis of accounting unless the trustees intend to wind-up the fund or have no realistic alternative but to do so.</w:t>
      </w:r>
    </w:p>
    <w:p w14:paraId="00907557" w14:textId="77777777" w:rsidR="00786E74" w:rsidRPr="00FE0F2D" w:rsidRDefault="00786E74" w:rsidP="00913A5C">
      <w:r w:rsidRPr="00FE0F2D">
        <w:t>Each SMSF trustee is responsible for overseeing the fund’s financial reporting process.</w:t>
      </w:r>
    </w:p>
    <w:p w14:paraId="40F23FBB" w14:textId="77777777" w:rsidR="00786E74" w:rsidRPr="00FE0F2D" w:rsidRDefault="00786E74" w:rsidP="00913A5C">
      <w:pPr>
        <w:pStyle w:val="Heading3"/>
      </w:pPr>
      <w:r w:rsidRPr="00FE0F2D">
        <w:t xml:space="preserve">Approved SMSF </w:t>
      </w:r>
      <w:r w:rsidRPr="00913A5C">
        <w:t>auditor’s</w:t>
      </w:r>
      <w:r w:rsidRPr="00FE0F2D">
        <w:t xml:space="preserve"> responsibilities for the audit of the financial report</w:t>
      </w:r>
      <w:r w:rsidRPr="00FE0F2D">
        <w:rPr>
          <w:rStyle w:val="FootnoteReference"/>
          <w:rFonts w:ascii="Arial" w:hAnsi="Arial" w:cs="Arial"/>
        </w:rPr>
        <w:footnoteReference w:id="7"/>
      </w:r>
    </w:p>
    <w:p w14:paraId="2883BA75" w14:textId="77777777" w:rsidR="00786E74" w:rsidRPr="00FE0F2D" w:rsidRDefault="00786E74" w:rsidP="00913A5C">
      <w:r w:rsidRPr="00FE0F2D">
        <w:t xml:space="preserve">My objectives are to obtain reasonable assurance about whether the financial report </w:t>
      </w:r>
      <w:proofErr w:type="gramStart"/>
      <w:r w:rsidRPr="00FE0F2D">
        <w:t>as a whole is</w:t>
      </w:r>
      <w:proofErr w:type="gramEnd"/>
      <w:r w:rsidRPr="00FE0F2D">
        <w:t xml:space="preserve"> free from material misstatement, whether due to fraud or error, and to issue an auditor’s report that includes my opinion. Reasonable assurance is a high level of </w:t>
      </w:r>
      <w:proofErr w:type="gramStart"/>
      <w:r w:rsidRPr="00FE0F2D">
        <w:t>assurance, but</w:t>
      </w:r>
      <w:proofErr w:type="gramEnd"/>
      <w:r w:rsidRPr="00FE0F2D">
        <w:t xml:space="preserve"> is not a guarantee that an audit conducted in accordance with the Australian Auditing Standards will always detect a material misstatement when it exists. Misstatements can arise from fraud or error and are considered material if, individually or in aggregate, they could reasonably be expected to influence the economic decisions of trustees taken </w:t>
      </w:r>
      <w:proofErr w:type="gramStart"/>
      <w:r w:rsidRPr="00FE0F2D">
        <w:t>on the basis of</w:t>
      </w:r>
      <w:proofErr w:type="gramEnd"/>
      <w:r w:rsidRPr="00FE0F2D">
        <w:t xml:space="preserve"> this financial report.</w:t>
      </w:r>
    </w:p>
    <w:p w14:paraId="6B004F3E" w14:textId="77777777" w:rsidR="00913A5C" w:rsidRDefault="00913A5C">
      <w:bookmarkStart w:id="3" w:name="top"/>
      <w:bookmarkEnd w:id="3"/>
      <w:r>
        <w:br w:type="page"/>
      </w:r>
    </w:p>
    <w:p w14:paraId="6094F16B" w14:textId="2E2F6346" w:rsidR="00786E74" w:rsidRPr="00FE0F2D" w:rsidRDefault="00786E74" w:rsidP="00913A5C">
      <w:r w:rsidRPr="00FE0F2D">
        <w:t>As part of an audit in accordance with Australian Auditing Standards, I exercise professional judgment and maintain professional scepticism throughout the audit. I also:</w:t>
      </w:r>
    </w:p>
    <w:p w14:paraId="4CFE8AAF" w14:textId="77777777" w:rsidR="00786E74" w:rsidRPr="00FE0F2D" w:rsidRDefault="00786E74" w:rsidP="00913A5C">
      <w:pPr>
        <w:pStyle w:val="ListBullet"/>
      </w:pPr>
      <w:r w:rsidRPr="00FE0F2D">
        <w:t>Identify and assess the risks of material misstatement of the financial report, whether due to fraud or error, design and perform audit procedures responsive to those risks, and obtain audit evidence that is sufficient and appropriate to provide a basis for my opinion. The risk of not detecting a material misstatement resulting from fraud is higher than for one resulting from error, as fraud may involve collusion, forgery, intentional omissions, misrepresentations, or the override of an internal control.</w:t>
      </w:r>
    </w:p>
    <w:p w14:paraId="1BE2896A" w14:textId="77777777" w:rsidR="00786E74" w:rsidRPr="00FE0F2D" w:rsidRDefault="00786E74" w:rsidP="00913A5C">
      <w:pPr>
        <w:pStyle w:val="ListBullet"/>
      </w:pPr>
      <w:r w:rsidRPr="00FE0F2D">
        <w:t xml:space="preserve">Obtain an understanding of internal controls relevant to the audit </w:t>
      </w:r>
      <w:proofErr w:type="gramStart"/>
      <w:r w:rsidRPr="00FE0F2D">
        <w:t>in order to</w:t>
      </w:r>
      <w:proofErr w:type="gramEnd"/>
      <w:r w:rsidRPr="00FE0F2D">
        <w:t xml:space="preserve"> design audit procedures that are appropriate in the circumstances, but not for the purpose of expressing an opinion on the effectiveness of the fund’s internal control.</w:t>
      </w:r>
    </w:p>
    <w:p w14:paraId="0EEE9920" w14:textId="77777777" w:rsidR="00786E74" w:rsidRPr="00FE0F2D" w:rsidRDefault="00786E74" w:rsidP="00913A5C">
      <w:pPr>
        <w:pStyle w:val="ListBullet"/>
      </w:pPr>
      <w:r w:rsidRPr="00FE0F2D" w:rsidDel="00062104">
        <w:t>Evaluate the appropriateness of accounting policies used and the reasonableness of accounting estimates and related disclosures made by the trustees.</w:t>
      </w:r>
    </w:p>
    <w:p w14:paraId="3E53ADBA" w14:textId="22A98614" w:rsidR="00786E74" w:rsidRPr="00913A5C" w:rsidRDefault="00786E74" w:rsidP="00913A5C">
      <w:pPr>
        <w:pStyle w:val="ListBullet"/>
      </w:pPr>
      <w:r w:rsidRPr="00FE0F2D">
        <w:t>Conclude on the appropriateness of trustees’ use of the going concern basis of accounting and, based on the audit evidence obtained, whether a material uncertainty exists related to events or conditions that may cast significant doubt on the fund’s ability to continue as a going concern. If I conclude that a material uncertainty exists, I am required to draw attention in the auditor’s report to the related disclosures in the financial report or if such disclosures are inadequate, to modify my opinion. My conclusions are based on the audit evidence obtained up to the date of the auditor’s report. However, future events or conditions may cause the fund to cease to continue as a going concern.</w:t>
      </w:r>
    </w:p>
    <w:p w14:paraId="2B3C9CFA" w14:textId="77777777" w:rsidR="00786E74" w:rsidRPr="00FE0F2D" w:rsidRDefault="00786E74" w:rsidP="00913A5C">
      <w:pPr>
        <w:pStyle w:val="ListBullet"/>
      </w:pPr>
      <w:r w:rsidRPr="00FE0F2D">
        <w:t xml:space="preserve">Evaluate the overall presentation, </w:t>
      </w:r>
      <w:proofErr w:type="gramStart"/>
      <w:r w:rsidRPr="00FE0F2D">
        <w:t>structure</w:t>
      </w:r>
      <w:proofErr w:type="gramEnd"/>
      <w:r w:rsidRPr="00FE0F2D">
        <w:t xml:space="preserve"> and content of the financial report, including the disclosures, and whether the financial report represents the underlying transactions and events in a manner that achieves fair presentation.</w:t>
      </w:r>
    </w:p>
    <w:p w14:paraId="4F5EE595" w14:textId="77777777" w:rsidR="00786E74" w:rsidRPr="00FE0F2D" w:rsidRDefault="00786E74" w:rsidP="00913A5C">
      <w:r w:rsidRPr="00FE0F2D">
        <w:t xml:space="preserve">I have communicated with the trustees regarding, </w:t>
      </w:r>
      <w:r w:rsidRPr="00913A5C">
        <w:t>among</w:t>
      </w:r>
      <w:r w:rsidRPr="00FE0F2D">
        <w:t xml:space="preserve"> other matters, the planned scope and timing of the audit and significant audit findings, including any significant deficiencies in internal control that I may identify during the audit.</w:t>
      </w:r>
    </w:p>
    <w:p w14:paraId="069A58E7" w14:textId="77777777" w:rsidR="00786E74" w:rsidRPr="00FE0F2D" w:rsidRDefault="00786E74" w:rsidP="00786E74">
      <w:pPr>
        <w:spacing w:after="200" w:line="276" w:lineRule="auto"/>
        <w:rPr>
          <w:rFonts w:ascii="Arial" w:eastAsiaTheme="majorEastAsia" w:hAnsi="Arial" w:cs="Arial"/>
          <w:b/>
          <w:bCs/>
          <w:sz w:val="28"/>
          <w:szCs w:val="28"/>
        </w:rPr>
      </w:pPr>
      <w:r w:rsidRPr="00FE0F2D">
        <w:rPr>
          <w:rFonts w:ascii="Arial" w:hAnsi="Arial" w:cs="Arial"/>
          <w:sz w:val="28"/>
          <w:szCs w:val="28"/>
        </w:rPr>
        <w:br w:type="page"/>
      </w:r>
    </w:p>
    <w:p w14:paraId="6A514C3D" w14:textId="77777777" w:rsidR="00786E74" w:rsidRPr="00FE0F2D" w:rsidRDefault="00786E74" w:rsidP="00786E74">
      <w:pPr>
        <w:pStyle w:val="Heading2"/>
      </w:pPr>
      <w:r w:rsidRPr="00FE0F2D">
        <w:t>Part B: Compliance engagement</w:t>
      </w:r>
    </w:p>
    <w:p w14:paraId="4BE6B473" w14:textId="77777777" w:rsidR="00786E74" w:rsidRPr="00FE0F2D" w:rsidRDefault="00786E74" w:rsidP="00913A5C">
      <w:pPr>
        <w:pStyle w:val="Heading3"/>
      </w:pPr>
      <w:r w:rsidRPr="00FE0F2D">
        <w:t xml:space="preserve">Opinion [Qualified </w:t>
      </w:r>
      <w:r w:rsidRPr="00913A5C">
        <w:t>Opinion</w:t>
      </w:r>
      <w:r w:rsidRPr="00FE0F2D">
        <w:t>/Disclaimer of Opinion/Adverse Opinion (*)]</w:t>
      </w:r>
      <w:r w:rsidRPr="00FE0F2D">
        <w:rPr>
          <w:rStyle w:val="FootnoteReference"/>
          <w:rFonts w:ascii="Arial" w:hAnsi="Arial" w:cs="Arial"/>
        </w:rPr>
        <w:footnoteReference w:id="8"/>
      </w:r>
    </w:p>
    <w:p w14:paraId="6CA57604" w14:textId="77777777" w:rsidR="00786E74" w:rsidRPr="00FE0F2D" w:rsidRDefault="00786E74" w:rsidP="00913A5C">
      <w:r w:rsidRPr="00FE0F2D">
        <w:t>I have undertaken</w:t>
      </w:r>
      <w:r w:rsidRPr="00FE0F2D">
        <w:rPr>
          <w:rStyle w:val="FootnoteReference"/>
          <w:rFonts w:ascii="Arial" w:hAnsi="Arial" w:cs="Arial"/>
          <w:sz w:val="22"/>
          <w:szCs w:val="22"/>
        </w:rPr>
        <w:footnoteReference w:id="9"/>
      </w:r>
      <w:r w:rsidRPr="00FE0F2D">
        <w:t xml:space="preserve"> a reasonable assurance engagement on (</w:t>
      </w:r>
      <w:r w:rsidRPr="00FE0F2D">
        <w:rPr>
          <w:i/>
          <w:iCs/>
        </w:rPr>
        <w:t>name of superannuation fund</w:t>
      </w:r>
      <w:r w:rsidRPr="00FE0F2D">
        <w:t>)</w:t>
      </w:r>
      <w:r w:rsidRPr="00FE0F2D">
        <w:rPr>
          <w:i/>
        </w:rPr>
        <w:t>’s</w:t>
      </w:r>
      <w:r w:rsidRPr="00FE0F2D">
        <w:t xml:space="preserve"> compliance, in all material respects, with the applicable provisions of the SISA and the SISR as listed below (</w:t>
      </w:r>
      <w:r>
        <w:t>’</w:t>
      </w:r>
      <w:r w:rsidRPr="00FE0F2D">
        <w:t>the listed provisions</w:t>
      </w:r>
      <w:r>
        <w:t>’</w:t>
      </w:r>
      <w:r w:rsidRPr="00FE0F2D">
        <w:t>) for the year ended 30</w:t>
      </w:r>
      <w:r>
        <w:t> </w:t>
      </w:r>
      <w:r w:rsidRPr="00FE0F2D">
        <w:t xml:space="preserve">June </w:t>
      </w:r>
      <w:r w:rsidRPr="00FE0F2D">
        <w:rPr>
          <w:i/>
          <w:sz w:val="18"/>
          <w:szCs w:val="18"/>
        </w:rPr>
        <w:t>___ [year]</w:t>
      </w:r>
      <w:r w:rsidRPr="00FE0F2D">
        <w:t xml:space="preserve"> </w:t>
      </w:r>
    </w:p>
    <w:p w14:paraId="22AD7A48" w14:textId="77777777" w:rsidR="00786E74" w:rsidRPr="00FE0F2D" w:rsidRDefault="00786E74" w:rsidP="00913A5C">
      <w:r w:rsidRPr="00FE0F2D">
        <w:t>Sections: 17A, 35AE, 35B, 35</w:t>
      </w:r>
      <w:proofErr w:type="gramStart"/>
      <w:r w:rsidRPr="00FE0F2D">
        <w:t>C(</w:t>
      </w:r>
      <w:proofErr w:type="gramEnd"/>
      <w:r w:rsidRPr="00FE0F2D">
        <w:t>2), 62, 65, 66, 67, 67A, 67B, 82-85, 103, 104, 104A, 105, 109, 126K</w:t>
      </w:r>
    </w:p>
    <w:p w14:paraId="7438D553" w14:textId="77777777" w:rsidR="00786E74" w:rsidRPr="00FE0F2D" w:rsidRDefault="00786E74" w:rsidP="00913A5C">
      <w:r w:rsidRPr="00FE0F2D">
        <w:t>Regulations: 1.06(9A), 4.09, 4.09A, 5.03, 5.08, 6.17, 7.04, 8.02B, 13.12, 13.13, 13.14, 13.18AA</w:t>
      </w:r>
    </w:p>
    <w:p w14:paraId="435CC1B2" w14:textId="77777777" w:rsidR="00786E74" w:rsidRPr="00793C6B" w:rsidRDefault="00786E74" w:rsidP="00913A5C">
      <w:pPr>
        <w:pStyle w:val="Formbodytab"/>
      </w:pPr>
      <w:r>
        <w:tab/>
      </w:r>
    </w:p>
    <w:p w14:paraId="587F9CE9" w14:textId="77777777" w:rsidR="00786E74" w:rsidRPr="00793C6B" w:rsidRDefault="00786E74" w:rsidP="00913A5C">
      <w:pPr>
        <w:pStyle w:val="Formbodytab"/>
      </w:pPr>
      <w:r>
        <w:tab/>
      </w:r>
    </w:p>
    <w:p w14:paraId="32B368EB" w14:textId="77777777" w:rsidR="00786E74" w:rsidRPr="00913A5C" w:rsidRDefault="00786E74" w:rsidP="00ED33BC">
      <w:pPr>
        <w:pStyle w:val="Formbodysmall"/>
      </w:pPr>
      <w:r w:rsidRPr="00913A5C">
        <w:t>[Additional sections and regulations may be inserted here at the discretion of the auditor]</w:t>
      </w:r>
    </w:p>
    <w:p w14:paraId="27CCC3C8" w14:textId="77777777" w:rsidR="00786E74" w:rsidRPr="00FE0F2D" w:rsidRDefault="00786E74" w:rsidP="00145404">
      <w:r w:rsidRPr="00FE0F2D">
        <w:t>In my opinion, [</w:t>
      </w:r>
      <w:r w:rsidRPr="00145EEE">
        <w:rPr>
          <w:i/>
          <w:iCs/>
        </w:rPr>
        <w:t>Qualified: except for the matter(s) referred to below</w:t>
      </w:r>
      <w:r w:rsidRPr="00FE0F2D">
        <w:t>] (*) each trustee of (</w:t>
      </w:r>
      <w:r w:rsidRPr="00145EEE">
        <w:rPr>
          <w:i/>
          <w:iCs/>
        </w:rPr>
        <w:t xml:space="preserve">name of superannuation fund) </w:t>
      </w:r>
      <w:r w:rsidRPr="00FE0F2D">
        <w:t>has [</w:t>
      </w:r>
      <w:r w:rsidRPr="00145EEE">
        <w:rPr>
          <w:i/>
          <w:iCs/>
        </w:rPr>
        <w:t>Adverse: not</w:t>
      </w:r>
      <w:r w:rsidRPr="00FE0F2D">
        <w:t>] (*) complied in all material respects, with the listed provisions, for the year ended 30</w:t>
      </w:r>
      <w:r>
        <w:t> </w:t>
      </w:r>
      <w:r w:rsidRPr="00FE0F2D">
        <w:t xml:space="preserve">June ____ </w:t>
      </w:r>
      <w:r w:rsidRPr="00FE0F2D">
        <w:rPr>
          <w:iCs/>
          <w:sz w:val="18"/>
          <w:szCs w:val="18"/>
        </w:rPr>
        <w:t>[</w:t>
      </w:r>
      <w:r w:rsidRPr="00FE0F2D">
        <w:rPr>
          <w:i/>
          <w:sz w:val="18"/>
          <w:szCs w:val="18"/>
        </w:rPr>
        <w:t>year]</w:t>
      </w:r>
      <w:r w:rsidRPr="00FE0F2D">
        <w:t>.</w:t>
      </w:r>
      <w:r w:rsidRPr="00FE0F2D">
        <w:rPr>
          <w:rStyle w:val="FootnoteReference"/>
          <w:rFonts w:ascii="Arial" w:hAnsi="Arial" w:cs="Arial"/>
          <w:sz w:val="22"/>
          <w:szCs w:val="22"/>
        </w:rPr>
        <w:footnoteReference w:id="10"/>
      </w:r>
    </w:p>
    <w:p w14:paraId="757FA346" w14:textId="77777777" w:rsidR="00786E74" w:rsidRPr="00FE0F2D" w:rsidRDefault="00786E74" w:rsidP="00145404">
      <w:pPr>
        <w:pStyle w:val="Heading3"/>
        <w:rPr>
          <w:sz w:val="22"/>
          <w:szCs w:val="22"/>
        </w:rPr>
      </w:pPr>
      <w:r w:rsidRPr="00FE0F2D">
        <w:t xml:space="preserve">Basis for </w:t>
      </w:r>
      <w:r w:rsidRPr="00145404">
        <w:t>Opinion</w:t>
      </w:r>
      <w:r w:rsidRPr="00FE0F2D">
        <w:t xml:space="preserve"> [Basis for Qualified Opinion/Basis for Disclaimer of Opinion</w:t>
      </w:r>
      <w:r w:rsidRPr="00FE0F2D">
        <w:rPr>
          <w:rStyle w:val="FootnoteReference"/>
          <w:rFonts w:ascii="Arial" w:hAnsi="Arial" w:cs="Arial"/>
        </w:rPr>
        <w:footnoteReference w:id="11"/>
      </w:r>
      <w:r w:rsidRPr="00FE0F2D">
        <w:t>/Basis for Adverse Opinion] (*)</w:t>
      </w:r>
    </w:p>
    <w:p w14:paraId="3CA7A98B" w14:textId="77777777" w:rsidR="00786E74" w:rsidRPr="00793C6B" w:rsidRDefault="00786E74" w:rsidP="00145404">
      <w:pPr>
        <w:pStyle w:val="Formbodytab"/>
      </w:pPr>
      <w:r>
        <w:tab/>
      </w:r>
    </w:p>
    <w:p w14:paraId="07200FBE" w14:textId="77777777" w:rsidR="00786E74" w:rsidRPr="00793C6B" w:rsidRDefault="00786E74" w:rsidP="00145404">
      <w:pPr>
        <w:pStyle w:val="Formbodytab"/>
      </w:pPr>
      <w:r>
        <w:tab/>
      </w:r>
    </w:p>
    <w:p w14:paraId="7408A21E" w14:textId="77777777" w:rsidR="00786E74" w:rsidRPr="00FE0F2D" w:rsidRDefault="00786E74" w:rsidP="00ED33BC">
      <w:pPr>
        <w:pStyle w:val="Formbodysmall"/>
      </w:pPr>
      <w:r w:rsidRPr="00FE0F2D">
        <w:t xml:space="preserve">(*) [Include a description of the matter giving rise to the qualified/adverse opinion] </w:t>
      </w:r>
    </w:p>
    <w:p w14:paraId="627BC29F" w14:textId="77777777" w:rsidR="00786E74" w:rsidRPr="00FE0F2D" w:rsidRDefault="00786E74" w:rsidP="00145404">
      <w:r w:rsidRPr="00FE0F2D">
        <w:t>I have conducted my engagement in accordance with Standard on Assurance Engagements ASAE</w:t>
      </w:r>
      <w:r>
        <w:t> </w:t>
      </w:r>
      <w:r w:rsidRPr="00FE0F2D">
        <w:t xml:space="preserve">3100 </w:t>
      </w:r>
      <w:r w:rsidRPr="00FE0F2D">
        <w:rPr>
          <w:i/>
        </w:rPr>
        <w:t xml:space="preserve">Compliance Engagements </w:t>
      </w:r>
      <w:r w:rsidRPr="00FE0F2D">
        <w:t>issued by the Auditing and Assurance Standards Board.</w:t>
      </w:r>
      <w:r>
        <w:t xml:space="preserve"> </w:t>
      </w:r>
    </w:p>
    <w:p w14:paraId="40E63011" w14:textId="77777777" w:rsidR="00786E74" w:rsidRPr="00FE0F2D" w:rsidRDefault="00786E74" w:rsidP="00145404">
      <w:pPr>
        <w:rPr>
          <w:i/>
        </w:rPr>
      </w:pPr>
      <w:r w:rsidRPr="00FE0F2D">
        <w:t xml:space="preserve">I believe that the evidence I have obtained is sufficient and appropriate to provide a basis for my </w:t>
      </w:r>
      <w:r w:rsidRPr="00FE0F2D">
        <w:rPr>
          <w:i/>
        </w:rPr>
        <w:t xml:space="preserve">[qualified/adverse] </w:t>
      </w:r>
      <w:r w:rsidRPr="00FE0F2D">
        <w:rPr>
          <w:iCs/>
        </w:rPr>
        <w:t>(*)</w:t>
      </w:r>
      <w:r w:rsidRPr="00FE0F2D">
        <w:rPr>
          <w:i/>
        </w:rPr>
        <w:t xml:space="preserve"> </w:t>
      </w:r>
      <w:r w:rsidRPr="00FE0F2D">
        <w:t>opinion.</w:t>
      </w:r>
    </w:p>
    <w:p w14:paraId="59CEE201" w14:textId="77777777" w:rsidR="00786E74" w:rsidRPr="00145404" w:rsidRDefault="00786E74" w:rsidP="00145404">
      <w:pPr>
        <w:pStyle w:val="Heading3"/>
      </w:pPr>
      <w:r w:rsidRPr="00145404">
        <w:t>Independence and quality management</w:t>
      </w:r>
    </w:p>
    <w:p w14:paraId="70C1146E" w14:textId="77777777" w:rsidR="00786E74" w:rsidRPr="00F14FC5" w:rsidRDefault="00786E74" w:rsidP="00145404">
      <w:r w:rsidRPr="00FE0F2D">
        <w:t xml:space="preserve">I have complied with the independence and other ethical requirements relating to assurance </w:t>
      </w:r>
      <w:proofErr w:type="gramStart"/>
      <w:r w:rsidRPr="00FE0F2D">
        <w:t>engagements, and</w:t>
      </w:r>
      <w:proofErr w:type="gramEnd"/>
      <w:r w:rsidRPr="00FE0F2D">
        <w:t xml:space="preserve"> applied Auditing Standard </w:t>
      </w:r>
      <w:r>
        <w:rPr>
          <w:iCs/>
        </w:rPr>
        <w:t xml:space="preserve">ASQM 1 </w:t>
      </w:r>
      <w:r>
        <w:rPr>
          <w:i/>
        </w:rPr>
        <w:t xml:space="preserve">Quality Management for Firms that Perform Audits or Reviews of Financial Reports and Other Financial Information, </w:t>
      </w:r>
      <w:r w:rsidRPr="009C291A">
        <w:rPr>
          <w:i/>
        </w:rPr>
        <w:t>or Other Assurance or Related Services Engagements</w:t>
      </w:r>
      <w:r w:rsidRPr="009C291A">
        <w:t xml:space="preserve"> in undertaking this assurance engagement. </w:t>
      </w:r>
      <w:proofErr w:type="gramStart"/>
      <w:r w:rsidRPr="00F14FC5">
        <w:t>In particular, neither</w:t>
      </w:r>
      <w:proofErr w:type="gramEnd"/>
      <w:r w:rsidRPr="00F14FC5">
        <w:t xml:space="preserve"> myself, my firm or my network firm assumed a management responsibility for the fund. Where my firm or network firm provided any other non-assurance services to the fund, we are satisfied that those services were not prohibited under the Code and any independence threats arising have been eliminated or reduced to an acceptable level by the application of safeguards.</w:t>
      </w:r>
    </w:p>
    <w:p w14:paraId="5368AA32" w14:textId="05C1FDDB" w:rsidR="00786E74" w:rsidRDefault="00786E74" w:rsidP="00786E74">
      <w:pPr>
        <w:spacing w:before="120" w:after="240"/>
      </w:pPr>
    </w:p>
    <w:p w14:paraId="71561EDF" w14:textId="77777777" w:rsidR="00786E74" w:rsidRPr="00FE0F2D" w:rsidRDefault="00786E74" w:rsidP="00786E74">
      <w:pPr>
        <w:pStyle w:val="Heading3"/>
      </w:pPr>
      <w:r w:rsidRPr="00FE0F2D">
        <w:t>SMSF trustees’ responsibilities</w:t>
      </w:r>
    </w:p>
    <w:p w14:paraId="0FEB41A2" w14:textId="77777777" w:rsidR="00786E74" w:rsidRPr="00FE0F2D" w:rsidRDefault="00786E74" w:rsidP="00145404">
      <w:r w:rsidRPr="00FE0F2D">
        <w:t>Each SMSF trustee is responsible for complying with the listed provisions and for the identification of risks that threaten compliance with the listed provisions, controls which will mitigate those risks and monitoring ongoing compliance.</w:t>
      </w:r>
    </w:p>
    <w:p w14:paraId="4F4197A0" w14:textId="77777777" w:rsidR="00786E74" w:rsidRPr="00FE0F2D" w:rsidRDefault="00786E74" w:rsidP="00145404">
      <w:pPr>
        <w:pStyle w:val="Heading3"/>
      </w:pPr>
      <w:r w:rsidRPr="00FE0F2D">
        <w:t xml:space="preserve">Approved SMSF </w:t>
      </w:r>
      <w:r w:rsidRPr="00145404">
        <w:t>auditor’s</w:t>
      </w:r>
      <w:r w:rsidRPr="00FE0F2D">
        <w:t xml:space="preserve"> responsibilities</w:t>
      </w:r>
      <w:r w:rsidRPr="00FE0F2D">
        <w:rPr>
          <w:rStyle w:val="FootnoteReference"/>
          <w:rFonts w:ascii="Arial" w:hAnsi="Arial" w:cs="Arial"/>
        </w:rPr>
        <w:footnoteReference w:id="12"/>
      </w:r>
    </w:p>
    <w:p w14:paraId="2262C2AC" w14:textId="77777777" w:rsidR="00786E74" w:rsidRPr="00FE0F2D" w:rsidRDefault="00786E74" w:rsidP="00145404">
      <w:r w:rsidRPr="00FE0F2D">
        <w:t>My responsibility is to express an opinion on the trustees’ compliance, in all material respects, with the listed provisions, for the year ended 30</w:t>
      </w:r>
      <w:r>
        <w:t> </w:t>
      </w:r>
      <w:r w:rsidRPr="00FE0F2D">
        <w:t xml:space="preserve">June </w:t>
      </w:r>
      <w:r w:rsidRPr="00FE0F2D">
        <w:rPr>
          <w:i/>
          <w:sz w:val="18"/>
          <w:szCs w:val="18"/>
        </w:rPr>
        <w:t>____ [year].</w:t>
      </w:r>
      <w:r w:rsidRPr="00FE0F2D">
        <w:t xml:space="preserve"> ASAE</w:t>
      </w:r>
      <w:r>
        <w:t> </w:t>
      </w:r>
      <w:r w:rsidRPr="00FE0F2D">
        <w:t xml:space="preserve">3100 </w:t>
      </w:r>
      <w:r w:rsidRPr="00FE0F2D">
        <w:rPr>
          <w:i/>
        </w:rPr>
        <w:t>Compliance Engagements</w:t>
      </w:r>
      <w:r w:rsidRPr="00FE0F2D">
        <w:t xml:space="preserve"> requires that I plan and perform my procedures to obtain reasonable assurance about whether the trustee</w:t>
      </w:r>
      <w:r>
        <w:t>s</w:t>
      </w:r>
      <w:r w:rsidRPr="00FE0F2D">
        <w:t xml:space="preserve"> have complied, in all material respects, with the listed provisions for the year ended 30</w:t>
      </w:r>
      <w:r>
        <w:t> </w:t>
      </w:r>
      <w:r w:rsidRPr="00FE0F2D">
        <w:t xml:space="preserve">June </w:t>
      </w:r>
      <w:r w:rsidRPr="00FE0F2D">
        <w:rPr>
          <w:i/>
          <w:sz w:val="18"/>
          <w:szCs w:val="18"/>
        </w:rPr>
        <w:t>____ [year].</w:t>
      </w:r>
      <w:r w:rsidRPr="00FE0F2D">
        <w:t xml:space="preserve"> </w:t>
      </w:r>
    </w:p>
    <w:p w14:paraId="41D30964" w14:textId="77777777" w:rsidR="00786E74" w:rsidRPr="00FE0F2D" w:rsidRDefault="00786E74" w:rsidP="00145404">
      <w:r w:rsidRPr="00FE0F2D">
        <w:t>An assurance engagement to report on the trustees’ compliance with the listed provisions involves performing procedures to obtain evidence about the compliance activity and controls implemented to meet the compliance requirements. The procedures selected depend on my judgement, including the identification and assessment of risks of material non-compliance.</w:t>
      </w:r>
    </w:p>
    <w:p w14:paraId="581C110D" w14:textId="77777777" w:rsidR="00786E74" w:rsidRPr="00FE0F2D" w:rsidRDefault="00786E74" w:rsidP="00145404">
      <w:r w:rsidRPr="00FE0F2D">
        <w:t xml:space="preserve">My procedures included examination, on a test basis, of evidence supporting compliance with </w:t>
      </w:r>
      <w:r>
        <w:t xml:space="preserve">the </w:t>
      </w:r>
      <w:r w:rsidRPr="00FE0F2D">
        <w:t>requirements of the listed provisions for the year ended 30</w:t>
      </w:r>
      <w:r>
        <w:t> </w:t>
      </w:r>
      <w:r w:rsidRPr="00FE0F2D">
        <w:t xml:space="preserve">June </w:t>
      </w:r>
      <w:r w:rsidRPr="00FE0F2D">
        <w:rPr>
          <w:i/>
          <w:sz w:val="18"/>
          <w:szCs w:val="18"/>
        </w:rPr>
        <w:t>____ [year].</w:t>
      </w:r>
      <w:r w:rsidRPr="00FE0F2D">
        <w:t xml:space="preserve"> </w:t>
      </w:r>
    </w:p>
    <w:p w14:paraId="47C703C0" w14:textId="77777777" w:rsidR="00786E74" w:rsidRPr="00FE0F2D" w:rsidRDefault="00786E74" w:rsidP="00145404">
      <w:r w:rsidRPr="00FE0F2D">
        <w:t xml:space="preserve">These tests have not been performed continuously throughout the period, were not designed to detect all instances of non-compliance, and have not covered any other provisions of the SISA and the SISR apart from those specified. </w:t>
      </w:r>
    </w:p>
    <w:p w14:paraId="38E7C966" w14:textId="77777777" w:rsidR="00786E74" w:rsidRPr="00FE0F2D" w:rsidRDefault="00786E74" w:rsidP="00786E74">
      <w:pPr>
        <w:pStyle w:val="Heading3"/>
      </w:pPr>
      <w:r w:rsidRPr="00FE0F2D">
        <w:t xml:space="preserve">Inherent </w:t>
      </w:r>
      <w:r w:rsidRPr="00145404">
        <w:t>limitations</w:t>
      </w:r>
    </w:p>
    <w:p w14:paraId="2F261011" w14:textId="77777777" w:rsidR="00786E74" w:rsidRPr="00FE0F2D" w:rsidRDefault="00786E74" w:rsidP="00145404">
      <w:r w:rsidRPr="00FE0F2D">
        <w:t xml:space="preserve">Due to the inherent limitations of an assurance engagement, together with the internal control structure it is possible that fraud, error, or non-compliance with the listed provisions may occur and not be detected. </w:t>
      </w:r>
    </w:p>
    <w:p w14:paraId="624336FD" w14:textId="77777777" w:rsidR="00786E74" w:rsidRPr="00FE0F2D" w:rsidRDefault="00786E74" w:rsidP="00145404">
      <w:r w:rsidRPr="00FE0F2D">
        <w:t>A reasonable assurance engagement for the year ended 30</w:t>
      </w:r>
      <w:r>
        <w:t> </w:t>
      </w:r>
      <w:r w:rsidRPr="00FE0F2D">
        <w:t xml:space="preserve">June </w:t>
      </w:r>
      <w:r w:rsidRPr="00FE0F2D">
        <w:rPr>
          <w:i/>
          <w:sz w:val="18"/>
          <w:szCs w:val="18"/>
        </w:rPr>
        <w:t xml:space="preserve">____ [year] </w:t>
      </w:r>
      <w:r w:rsidRPr="00FE0F2D">
        <w:t>does not provide assurance on whether compliance with the listed provisions will continue in the future.</w:t>
      </w:r>
    </w:p>
    <w:p w14:paraId="47A16772" w14:textId="77777777" w:rsidR="00786E74" w:rsidRPr="00FE0F2D" w:rsidRDefault="00786E74" w:rsidP="00145404">
      <w:pPr>
        <w:pStyle w:val="Heading3"/>
      </w:pPr>
      <w:r w:rsidRPr="00FE0F2D">
        <w:t xml:space="preserve">SMSF </w:t>
      </w:r>
      <w:r>
        <w:t>a</w:t>
      </w:r>
      <w:r w:rsidRPr="00FE0F2D">
        <w:t>uditor’s name</w:t>
      </w:r>
    </w:p>
    <w:p w14:paraId="160A4A99" w14:textId="59D5E7B8" w:rsidR="00786E74" w:rsidRPr="00FE0F2D" w:rsidRDefault="00145404" w:rsidP="009B4D8F">
      <w:pPr>
        <w:pStyle w:val="Fullunderline"/>
      </w:pPr>
      <w:r>
        <w:tab/>
      </w:r>
    </w:p>
    <w:p w14:paraId="23DC7C51" w14:textId="77777777" w:rsidR="00786E74" w:rsidRPr="00FE0F2D" w:rsidRDefault="00786E74" w:rsidP="00145404">
      <w:pPr>
        <w:pStyle w:val="Heading3"/>
      </w:pPr>
      <w:r w:rsidRPr="00FE0F2D">
        <w:t xml:space="preserve">SMSF </w:t>
      </w:r>
      <w:r>
        <w:t>a</w:t>
      </w:r>
      <w:r w:rsidRPr="00FE0F2D">
        <w:t>uditor’s signature</w:t>
      </w:r>
    </w:p>
    <w:p w14:paraId="5C99F3C2" w14:textId="45CC1B73" w:rsidR="00786E74" w:rsidRPr="00FE0F2D" w:rsidRDefault="00145404" w:rsidP="009B4D8F">
      <w:pPr>
        <w:pStyle w:val="Fullunderline"/>
      </w:pPr>
      <w:r>
        <w:tab/>
      </w:r>
    </w:p>
    <w:p w14:paraId="19294C7F" w14:textId="77777777" w:rsidR="00786E74" w:rsidRDefault="00786E74" w:rsidP="00145404">
      <w:pPr>
        <w:pStyle w:val="Heading3"/>
      </w:pPr>
      <w:r w:rsidRPr="00FE0F2D">
        <w:t xml:space="preserve">Date audit </w:t>
      </w:r>
      <w:proofErr w:type="gramStart"/>
      <w:r w:rsidRPr="00FE0F2D">
        <w:t>completed</w:t>
      </w:r>
      <w:proofErr w:type="gramEnd"/>
    </w:p>
    <w:p w14:paraId="606850A4" w14:textId="1D6837DF" w:rsidR="00786E74" w:rsidRPr="00145404" w:rsidRDefault="00786E74" w:rsidP="009B4D8F">
      <w:pPr>
        <w:pStyle w:val="Fullunderline"/>
        <w:tabs>
          <w:tab w:val="right" w:leader="underscore" w:pos="5103"/>
        </w:tabs>
      </w:pPr>
      <w:r w:rsidRPr="00145404">
        <w:tab/>
      </w:r>
    </w:p>
    <w:p w14:paraId="1CEA9FBD" w14:textId="77777777" w:rsidR="00786E74" w:rsidRDefault="00786E74" w:rsidP="00786E74">
      <w:pPr>
        <w:pStyle w:val="Heading2"/>
      </w:pPr>
      <w:r>
        <w:br w:type="page"/>
      </w:r>
    </w:p>
    <w:p w14:paraId="6FFEC84F" w14:textId="77777777" w:rsidR="00786E74" w:rsidRPr="00FE0F2D" w:rsidRDefault="00786E74" w:rsidP="00786E74">
      <w:pPr>
        <w:pStyle w:val="Heading2"/>
      </w:pPr>
      <w:r w:rsidRPr="00FE0F2D">
        <w:t>Appendix 1 – Explanation of listed sections and regulations in compliance engagement</w:t>
      </w:r>
    </w:p>
    <w:p w14:paraId="1C5776D0" w14:textId="77777777" w:rsidR="00786E74" w:rsidRPr="00FE0F2D" w:rsidRDefault="00786E74" w:rsidP="00786E74">
      <w:pPr>
        <w:spacing w:before="120" w:after="240"/>
        <w:rPr>
          <w:rFonts w:ascii="Arial" w:hAnsi="Arial" w:cs="Arial"/>
          <w:sz w:val="22"/>
          <w:szCs w:val="22"/>
        </w:rPr>
      </w:pPr>
      <w:r w:rsidRPr="00FE0F2D">
        <w:rPr>
          <w:rFonts w:ascii="Arial" w:hAnsi="Arial" w:cs="Arial"/>
          <w:sz w:val="22"/>
          <w:szCs w:val="22"/>
        </w:rPr>
        <w:t>This appendix is included to assist with the meaning of the legislation and regulations listed above</w:t>
      </w:r>
      <w:r>
        <w:rPr>
          <w:rFonts w:ascii="Arial" w:hAnsi="Arial" w:cs="Arial"/>
          <w:sz w:val="22"/>
          <w:szCs w:val="22"/>
        </w:rPr>
        <w:t>.</w:t>
      </w:r>
    </w:p>
    <w:tbl>
      <w:tblPr>
        <w:tblStyle w:val="TableATO"/>
        <w:tblW w:w="9923" w:type="dxa"/>
        <w:tblCellMar>
          <w:top w:w="57" w:type="dxa"/>
          <w:bottom w:w="57" w:type="dxa"/>
        </w:tblCellMar>
        <w:tblLook w:val="01E0" w:firstRow="1" w:lastRow="1" w:firstColumn="1" w:lastColumn="1" w:noHBand="0" w:noVBand="0"/>
      </w:tblPr>
      <w:tblGrid>
        <w:gridCol w:w="2268"/>
        <w:gridCol w:w="7655"/>
      </w:tblGrid>
      <w:tr w:rsidR="00786E74" w:rsidRPr="00FE0F2D" w14:paraId="3580C21B" w14:textId="77777777" w:rsidTr="00ED33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6275C3A1" w14:textId="77777777" w:rsidR="00786E74" w:rsidRPr="00087E6D" w:rsidRDefault="00786E74" w:rsidP="008F0400">
            <w:pPr>
              <w:spacing w:before="120" w:after="240"/>
              <w:rPr>
                <w:rFonts w:ascii="Arial" w:hAnsi="Arial" w:cs="Arial"/>
                <w:b w:val="0"/>
                <w:bCs/>
              </w:rPr>
            </w:pPr>
            <w:r w:rsidRPr="00087E6D">
              <w:rPr>
                <w:rFonts w:ascii="Arial" w:hAnsi="Arial" w:cs="Arial"/>
                <w:bCs/>
                <w:sz w:val="22"/>
                <w:szCs w:val="22"/>
              </w:rPr>
              <w:t>Section or Regulation</w:t>
            </w:r>
          </w:p>
        </w:tc>
        <w:tc>
          <w:tcPr>
            <w:tcW w:w="7655" w:type="dxa"/>
          </w:tcPr>
          <w:p w14:paraId="5ADEEEEC" w14:textId="77777777" w:rsidR="00786E74" w:rsidRPr="00087E6D" w:rsidRDefault="00786E74" w:rsidP="008F0400">
            <w:pPr>
              <w:spacing w:before="120" w:after="240"/>
              <w:cnfStyle w:val="100000000000" w:firstRow="1" w:lastRow="0" w:firstColumn="0" w:lastColumn="0" w:oddVBand="0" w:evenVBand="0" w:oddHBand="0" w:evenHBand="0" w:firstRowFirstColumn="0" w:firstRowLastColumn="0" w:lastRowFirstColumn="0" w:lastRowLastColumn="0"/>
              <w:rPr>
                <w:rFonts w:ascii="Arial" w:hAnsi="Arial" w:cs="Arial"/>
                <w:b w:val="0"/>
                <w:bCs/>
              </w:rPr>
            </w:pPr>
            <w:r w:rsidRPr="00087E6D">
              <w:rPr>
                <w:rFonts w:ascii="Arial" w:hAnsi="Arial" w:cs="Arial"/>
                <w:bCs/>
                <w:sz w:val="22"/>
                <w:szCs w:val="22"/>
              </w:rPr>
              <w:t>Explanation</w:t>
            </w:r>
          </w:p>
        </w:tc>
      </w:tr>
      <w:tr w:rsidR="00786E74" w:rsidRPr="00FE0F2D" w14:paraId="65224F07" w14:textId="77777777" w:rsidTr="00ED33BC">
        <w:trPr>
          <w:cantSplit w:val="0"/>
          <w:trHeight w:val="20"/>
        </w:trPr>
        <w:tc>
          <w:tcPr>
            <w:cnfStyle w:val="001000000000" w:firstRow="0" w:lastRow="0" w:firstColumn="1" w:lastColumn="0" w:oddVBand="0" w:evenVBand="0" w:oddHBand="0" w:evenHBand="0" w:firstRowFirstColumn="0" w:firstRowLastColumn="0" w:lastRowFirstColumn="0" w:lastRowLastColumn="0"/>
            <w:tcW w:w="2268" w:type="dxa"/>
          </w:tcPr>
          <w:p w14:paraId="27A34EA4" w14:textId="77777777" w:rsidR="00786E74" w:rsidRPr="00FE0F2D" w:rsidRDefault="00786E74" w:rsidP="009B4D8F">
            <w:pPr>
              <w:pStyle w:val="TableText"/>
            </w:pPr>
            <w:r w:rsidRPr="00FE0F2D">
              <w:t>S17A</w:t>
            </w:r>
          </w:p>
        </w:tc>
        <w:tc>
          <w:tcPr>
            <w:tcW w:w="7655" w:type="dxa"/>
          </w:tcPr>
          <w:p w14:paraId="3F0CB255" w14:textId="77777777" w:rsidR="00786E74" w:rsidRPr="00FE0F2D" w:rsidRDefault="00786E74" w:rsidP="009B4D8F">
            <w:pPr>
              <w:pStyle w:val="TableText"/>
              <w:cnfStyle w:val="000000000000" w:firstRow="0" w:lastRow="0" w:firstColumn="0" w:lastColumn="0" w:oddVBand="0" w:evenVBand="0" w:oddHBand="0" w:evenHBand="0" w:firstRowFirstColumn="0" w:firstRowLastColumn="0" w:lastRowFirstColumn="0" w:lastRowLastColumn="0"/>
            </w:pPr>
            <w:r w:rsidRPr="00FE0F2D">
              <w:t xml:space="preserve">The fund must meet the definition of a </w:t>
            </w:r>
            <w:r>
              <w:t>self-managed super fund (</w:t>
            </w:r>
            <w:r w:rsidRPr="00FE0F2D">
              <w:t>SMSF</w:t>
            </w:r>
            <w:r>
              <w:t>)</w:t>
            </w:r>
          </w:p>
        </w:tc>
      </w:tr>
      <w:tr w:rsidR="00786E74" w:rsidRPr="00FE0F2D" w14:paraId="000015ED" w14:textId="77777777" w:rsidTr="00ED33BC">
        <w:trPr>
          <w:cnfStyle w:val="000000010000" w:firstRow="0" w:lastRow="0" w:firstColumn="0" w:lastColumn="0" w:oddVBand="0" w:evenVBand="0" w:oddHBand="0" w:evenHBand="1" w:firstRowFirstColumn="0" w:firstRowLastColumn="0" w:lastRowFirstColumn="0" w:lastRowLastColumn="0"/>
          <w:cantSplit w:val="0"/>
          <w:trHeight w:val="20"/>
        </w:trPr>
        <w:tc>
          <w:tcPr>
            <w:cnfStyle w:val="001000000000" w:firstRow="0" w:lastRow="0" w:firstColumn="1" w:lastColumn="0" w:oddVBand="0" w:evenVBand="0" w:oddHBand="0" w:evenHBand="0" w:firstRowFirstColumn="0" w:firstRowLastColumn="0" w:lastRowFirstColumn="0" w:lastRowLastColumn="0"/>
            <w:tcW w:w="2268" w:type="dxa"/>
          </w:tcPr>
          <w:p w14:paraId="703EABD0" w14:textId="77777777" w:rsidR="00786E74" w:rsidRPr="00FE0F2D" w:rsidRDefault="00786E74" w:rsidP="009B4D8F">
            <w:pPr>
              <w:pStyle w:val="TableText"/>
            </w:pPr>
            <w:r w:rsidRPr="00FE0F2D">
              <w:t>S35AE</w:t>
            </w:r>
          </w:p>
        </w:tc>
        <w:tc>
          <w:tcPr>
            <w:tcW w:w="7655" w:type="dxa"/>
          </w:tcPr>
          <w:p w14:paraId="2F523676" w14:textId="35E86BE5" w:rsidR="00786E74" w:rsidRPr="00FE0F2D" w:rsidRDefault="00786E74" w:rsidP="009B4D8F">
            <w:pPr>
              <w:pStyle w:val="TableText"/>
              <w:cnfStyle w:val="000000010000" w:firstRow="0" w:lastRow="0" w:firstColumn="0" w:lastColumn="0" w:oddVBand="0" w:evenVBand="0" w:oddHBand="0" w:evenHBand="1" w:firstRowFirstColumn="0" w:firstRowLastColumn="0" w:lastRowFirstColumn="0" w:lastRowLastColumn="0"/>
            </w:pPr>
            <w:r w:rsidRPr="00FE0F2D">
              <w:t xml:space="preserve">The trustees must keep and maintain accounting records for a minimum of </w:t>
            </w:r>
            <w:r>
              <w:t>5</w:t>
            </w:r>
            <w:r w:rsidR="00ED33BC">
              <w:t> </w:t>
            </w:r>
            <w:r w:rsidRPr="00FE0F2D">
              <w:t>years</w:t>
            </w:r>
          </w:p>
        </w:tc>
      </w:tr>
      <w:tr w:rsidR="00786E74" w:rsidRPr="00FE0F2D" w14:paraId="74D44580" w14:textId="77777777" w:rsidTr="00ED33BC">
        <w:trPr>
          <w:cantSplit w:val="0"/>
          <w:trHeight w:val="20"/>
        </w:trPr>
        <w:tc>
          <w:tcPr>
            <w:cnfStyle w:val="001000000000" w:firstRow="0" w:lastRow="0" w:firstColumn="1" w:lastColumn="0" w:oddVBand="0" w:evenVBand="0" w:oddHBand="0" w:evenHBand="0" w:firstRowFirstColumn="0" w:firstRowLastColumn="0" w:lastRowFirstColumn="0" w:lastRowLastColumn="0"/>
            <w:tcW w:w="2268" w:type="dxa"/>
          </w:tcPr>
          <w:p w14:paraId="1E55DC66" w14:textId="77777777" w:rsidR="00786E74" w:rsidRPr="00FE0F2D" w:rsidRDefault="00786E74" w:rsidP="009B4D8F">
            <w:pPr>
              <w:pStyle w:val="TableText"/>
            </w:pPr>
            <w:r w:rsidRPr="00FE0F2D">
              <w:t>S35B</w:t>
            </w:r>
          </w:p>
        </w:tc>
        <w:tc>
          <w:tcPr>
            <w:tcW w:w="7655" w:type="dxa"/>
          </w:tcPr>
          <w:p w14:paraId="5EF4EA7A" w14:textId="77777777" w:rsidR="00786E74" w:rsidRPr="00FE0F2D" w:rsidRDefault="00786E74" w:rsidP="009B4D8F">
            <w:pPr>
              <w:pStyle w:val="TableText"/>
              <w:cnfStyle w:val="000000000000" w:firstRow="0" w:lastRow="0" w:firstColumn="0" w:lastColumn="0" w:oddVBand="0" w:evenVBand="0" w:oddHBand="0" w:evenHBand="0" w:firstRowFirstColumn="0" w:firstRowLastColumn="0" w:lastRowFirstColumn="0" w:lastRowLastColumn="0"/>
            </w:pPr>
            <w:r w:rsidRPr="00FE0F2D">
              <w:t xml:space="preserve">The trustees must prepare, </w:t>
            </w:r>
            <w:proofErr w:type="gramStart"/>
            <w:r w:rsidRPr="00FE0F2D">
              <w:t>sign</w:t>
            </w:r>
            <w:proofErr w:type="gramEnd"/>
            <w:r w:rsidRPr="00FE0F2D">
              <w:t xml:space="preserve"> and retain accounts and statements</w:t>
            </w:r>
          </w:p>
        </w:tc>
      </w:tr>
      <w:tr w:rsidR="00786E74" w:rsidRPr="00FE0F2D" w14:paraId="50074281" w14:textId="77777777" w:rsidTr="00ED33BC">
        <w:trPr>
          <w:cnfStyle w:val="000000010000" w:firstRow="0" w:lastRow="0" w:firstColumn="0" w:lastColumn="0" w:oddVBand="0" w:evenVBand="0" w:oddHBand="0" w:evenHBand="1" w:firstRowFirstColumn="0" w:firstRowLastColumn="0" w:lastRowFirstColumn="0" w:lastRowLastColumn="0"/>
          <w:cantSplit w:val="0"/>
          <w:trHeight w:val="20"/>
        </w:trPr>
        <w:tc>
          <w:tcPr>
            <w:cnfStyle w:val="001000000000" w:firstRow="0" w:lastRow="0" w:firstColumn="1" w:lastColumn="0" w:oddVBand="0" w:evenVBand="0" w:oddHBand="0" w:evenHBand="0" w:firstRowFirstColumn="0" w:firstRowLastColumn="0" w:lastRowFirstColumn="0" w:lastRowLastColumn="0"/>
            <w:tcW w:w="2268" w:type="dxa"/>
          </w:tcPr>
          <w:p w14:paraId="0E7B3105" w14:textId="77777777" w:rsidR="00786E74" w:rsidRPr="00FE0F2D" w:rsidRDefault="00786E74" w:rsidP="009B4D8F">
            <w:pPr>
              <w:pStyle w:val="TableText"/>
            </w:pPr>
            <w:r w:rsidRPr="00FE0F2D">
              <w:t>S35</w:t>
            </w:r>
            <w:proofErr w:type="gramStart"/>
            <w:r w:rsidRPr="00FE0F2D">
              <w:t>C(</w:t>
            </w:r>
            <w:proofErr w:type="gramEnd"/>
            <w:r w:rsidRPr="00FE0F2D">
              <w:t>2)</w:t>
            </w:r>
          </w:p>
        </w:tc>
        <w:tc>
          <w:tcPr>
            <w:tcW w:w="7655" w:type="dxa"/>
          </w:tcPr>
          <w:p w14:paraId="2714477D" w14:textId="77777777" w:rsidR="00786E74" w:rsidRPr="00FE0F2D" w:rsidRDefault="00786E74" w:rsidP="009B4D8F">
            <w:pPr>
              <w:pStyle w:val="TableText"/>
              <w:cnfStyle w:val="000000010000" w:firstRow="0" w:lastRow="0" w:firstColumn="0" w:lastColumn="0" w:oddVBand="0" w:evenVBand="0" w:oddHBand="0" w:evenHBand="1" w:firstRowFirstColumn="0" w:firstRowLastColumn="0" w:lastRowFirstColumn="0" w:lastRowLastColumn="0"/>
            </w:pPr>
            <w:r w:rsidRPr="00FE0F2D">
              <w:t>The trustees must provide the auditor with the necessary documents to complete the audit in a timely and professional manner; and within 14</w:t>
            </w:r>
            <w:r>
              <w:t> </w:t>
            </w:r>
            <w:r w:rsidRPr="00FE0F2D">
              <w:t>days of a written request from the auditor</w:t>
            </w:r>
          </w:p>
        </w:tc>
      </w:tr>
      <w:tr w:rsidR="00786E74" w:rsidRPr="00FE0F2D" w14:paraId="1CD1712E" w14:textId="77777777" w:rsidTr="00ED33BC">
        <w:trPr>
          <w:cantSplit w:val="0"/>
          <w:trHeight w:val="20"/>
        </w:trPr>
        <w:tc>
          <w:tcPr>
            <w:cnfStyle w:val="001000000000" w:firstRow="0" w:lastRow="0" w:firstColumn="1" w:lastColumn="0" w:oddVBand="0" w:evenVBand="0" w:oddHBand="0" w:evenHBand="0" w:firstRowFirstColumn="0" w:firstRowLastColumn="0" w:lastRowFirstColumn="0" w:lastRowLastColumn="0"/>
            <w:tcW w:w="2268" w:type="dxa"/>
          </w:tcPr>
          <w:p w14:paraId="418F1C44" w14:textId="77777777" w:rsidR="00786E74" w:rsidRPr="00FE0F2D" w:rsidRDefault="00786E74" w:rsidP="009B4D8F">
            <w:pPr>
              <w:pStyle w:val="TableText"/>
            </w:pPr>
            <w:r w:rsidRPr="00FE0F2D">
              <w:t>S62</w:t>
            </w:r>
          </w:p>
        </w:tc>
        <w:tc>
          <w:tcPr>
            <w:tcW w:w="7655" w:type="dxa"/>
          </w:tcPr>
          <w:p w14:paraId="2A3C2888" w14:textId="77777777" w:rsidR="00786E74" w:rsidRPr="00FE0F2D" w:rsidRDefault="00786E74" w:rsidP="009B4D8F">
            <w:pPr>
              <w:pStyle w:val="TableText"/>
              <w:cnfStyle w:val="000000000000" w:firstRow="0" w:lastRow="0" w:firstColumn="0" w:lastColumn="0" w:oddVBand="0" w:evenVBand="0" w:oddHBand="0" w:evenHBand="0" w:firstRowFirstColumn="0" w:firstRowLastColumn="0" w:lastRowFirstColumn="0" w:lastRowLastColumn="0"/>
            </w:pPr>
            <w:r w:rsidRPr="00FE0F2D">
              <w:t xml:space="preserve">The fund must be maintained for the sole purpose of providing benefits to any or </w:t>
            </w:r>
            <w:proofErr w:type="gramStart"/>
            <w:r w:rsidRPr="00FE0F2D">
              <w:t>all of</w:t>
            </w:r>
            <w:proofErr w:type="gramEnd"/>
            <w:r w:rsidRPr="00FE0F2D">
              <w:t xml:space="preserve"> the following: </w:t>
            </w:r>
          </w:p>
          <w:p w14:paraId="60EBBC5A" w14:textId="77777777" w:rsidR="00786E74" w:rsidRPr="00FE0F2D" w:rsidRDefault="00786E74" w:rsidP="009B4D8F">
            <w:pPr>
              <w:pStyle w:val="TableBullet"/>
              <w:cnfStyle w:val="000000000000" w:firstRow="0" w:lastRow="0" w:firstColumn="0" w:lastColumn="0" w:oddVBand="0" w:evenVBand="0" w:oddHBand="0" w:evenHBand="0" w:firstRowFirstColumn="0" w:firstRowLastColumn="0" w:lastRowFirstColumn="0" w:lastRowLastColumn="0"/>
            </w:pPr>
            <w:r w:rsidRPr="00FE0F2D">
              <w:t>fund members upon their retirement</w:t>
            </w:r>
          </w:p>
          <w:p w14:paraId="4EA5A575" w14:textId="77777777" w:rsidR="00786E74" w:rsidRPr="00FE0F2D" w:rsidRDefault="00786E74" w:rsidP="009B4D8F">
            <w:pPr>
              <w:pStyle w:val="TableBullet"/>
              <w:cnfStyle w:val="000000000000" w:firstRow="0" w:lastRow="0" w:firstColumn="0" w:lastColumn="0" w:oddVBand="0" w:evenVBand="0" w:oddHBand="0" w:evenHBand="0" w:firstRowFirstColumn="0" w:firstRowLastColumn="0" w:lastRowFirstColumn="0" w:lastRowLastColumn="0"/>
            </w:pPr>
            <w:r w:rsidRPr="00FE0F2D">
              <w:t xml:space="preserve">fund members upon reaching a prescribed </w:t>
            </w:r>
            <w:proofErr w:type="gramStart"/>
            <w:r w:rsidRPr="00FE0F2D">
              <w:t>age</w:t>
            </w:r>
            <w:proofErr w:type="gramEnd"/>
            <w:r w:rsidRPr="00FE0F2D">
              <w:t xml:space="preserve"> </w:t>
            </w:r>
          </w:p>
          <w:p w14:paraId="43C94E66" w14:textId="77777777" w:rsidR="00786E74" w:rsidRPr="00FE0F2D" w:rsidRDefault="00786E74" w:rsidP="009B4D8F">
            <w:pPr>
              <w:pStyle w:val="TableBullet"/>
              <w:cnfStyle w:val="000000000000" w:firstRow="0" w:lastRow="0" w:firstColumn="0" w:lastColumn="0" w:oddVBand="0" w:evenVBand="0" w:oddHBand="0" w:evenHBand="0" w:firstRowFirstColumn="0" w:firstRowLastColumn="0" w:lastRowFirstColumn="0" w:lastRowLastColumn="0"/>
            </w:pPr>
            <w:r w:rsidRPr="00FE0F2D">
              <w:t>the dependants of a fund member in the case of the member’s death before retirement</w:t>
            </w:r>
          </w:p>
        </w:tc>
      </w:tr>
      <w:tr w:rsidR="00786E74" w:rsidRPr="00FE0F2D" w14:paraId="19C23B31" w14:textId="77777777" w:rsidTr="00ED33BC">
        <w:trPr>
          <w:cnfStyle w:val="000000010000" w:firstRow="0" w:lastRow="0" w:firstColumn="0" w:lastColumn="0" w:oddVBand="0" w:evenVBand="0" w:oddHBand="0" w:evenHBand="1" w:firstRowFirstColumn="0" w:firstRowLastColumn="0" w:lastRowFirstColumn="0" w:lastRowLastColumn="0"/>
          <w:cantSplit w:val="0"/>
          <w:trHeight w:val="20"/>
        </w:trPr>
        <w:tc>
          <w:tcPr>
            <w:cnfStyle w:val="001000000000" w:firstRow="0" w:lastRow="0" w:firstColumn="1" w:lastColumn="0" w:oddVBand="0" w:evenVBand="0" w:oddHBand="0" w:evenHBand="0" w:firstRowFirstColumn="0" w:firstRowLastColumn="0" w:lastRowFirstColumn="0" w:lastRowLastColumn="0"/>
            <w:tcW w:w="2268" w:type="dxa"/>
          </w:tcPr>
          <w:p w14:paraId="29EFA82F" w14:textId="77777777" w:rsidR="00786E74" w:rsidRPr="00FE0F2D" w:rsidRDefault="00786E74" w:rsidP="009B4D8F">
            <w:pPr>
              <w:pStyle w:val="TableText"/>
            </w:pPr>
            <w:r w:rsidRPr="00FE0F2D">
              <w:t>S65</w:t>
            </w:r>
          </w:p>
        </w:tc>
        <w:tc>
          <w:tcPr>
            <w:tcW w:w="7655" w:type="dxa"/>
          </w:tcPr>
          <w:p w14:paraId="6A13EEEF" w14:textId="77777777" w:rsidR="00786E74" w:rsidRPr="00FE0F2D" w:rsidRDefault="00786E74" w:rsidP="009B4D8F">
            <w:pPr>
              <w:pStyle w:val="TableText"/>
              <w:cnfStyle w:val="000000010000" w:firstRow="0" w:lastRow="0" w:firstColumn="0" w:lastColumn="0" w:oddVBand="0" w:evenVBand="0" w:oddHBand="0" w:evenHBand="1" w:firstRowFirstColumn="0" w:firstRowLastColumn="0" w:lastRowFirstColumn="0" w:lastRowLastColumn="0"/>
            </w:pPr>
            <w:r w:rsidRPr="00FE0F2D">
              <w:t>The trustees must not loan monies or provide financial assistance to any member or relative at any time during the financial year</w:t>
            </w:r>
          </w:p>
        </w:tc>
      </w:tr>
      <w:tr w:rsidR="00786E74" w:rsidRPr="00FE0F2D" w14:paraId="742196B2" w14:textId="77777777" w:rsidTr="00ED33BC">
        <w:trPr>
          <w:cantSplit w:val="0"/>
          <w:trHeight w:val="20"/>
        </w:trPr>
        <w:tc>
          <w:tcPr>
            <w:cnfStyle w:val="001000000000" w:firstRow="0" w:lastRow="0" w:firstColumn="1" w:lastColumn="0" w:oddVBand="0" w:evenVBand="0" w:oddHBand="0" w:evenHBand="0" w:firstRowFirstColumn="0" w:firstRowLastColumn="0" w:lastRowFirstColumn="0" w:lastRowLastColumn="0"/>
            <w:tcW w:w="2268" w:type="dxa"/>
          </w:tcPr>
          <w:p w14:paraId="4B657DA6" w14:textId="77777777" w:rsidR="00786E74" w:rsidRPr="00FE0F2D" w:rsidRDefault="00786E74" w:rsidP="009B4D8F">
            <w:pPr>
              <w:pStyle w:val="TableText"/>
            </w:pPr>
            <w:r w:rsidRPr="00FE0F2D">
              <w:t>S66</w:t>
            </w:r>
          </w:p>
        </w:tc>
        <w:tc>
          <w:tcPr>
            <w:tcW w:w="7655" w:type="dxa"/>
          </w:tcPr>
          <w:p w14:paraId="0F9221A6" w14:textId="77777777" w:rsidR="00786E74" w:rsidRPr="00FE0F2D" w:rsidRDefault="00786E74" w:rsidP="009B4D8F">
            <w:pPr>
              <w:pStyle w:val="TableText"/>
              <w:cnfStyle w:val="000000000000" w:firstRow="0" w:lastRow="0" w:firstColumn="0" w:lastColumn="0" w:oddVBand="0" w:evenVBand="0" w:oddHBand="0" w:evenHBand="0" w:firstRowFirstColumn="0" w:firstRowLastColumn="0" w:lastRowFirstColumn="0" w:lastRowLastColumn="0"/>
            </w:pPr>
            <w:r w:rsidRPr="00FE0F2D">
              <w:t>The trustees must not acquire any assets (not listed as an exception) from any member or related party of the fund</w:t>
            </w:r>
          </w:p>
        </w:tc>
      </w:tr>
      <w:tr w:rsidR="00786E74" w:rsidRPr="00FE0F2D" w14:paraId="0D58EF66" w14:textId="77777777" w:rsidTr="00ED33BC">
        <w:trPr>
          <w:cnfStyle w:val="000000010000" w:firstRow="0" w:lastRow="0" w:firstColumn="0" w:lastColumn="0" w:oddVBand="0" w:evenVBand="0" w:oddHBand="0" w:evenHBand="1" w:firstRowFirstColumn="0" w:firstRowLastColumn="0" w:lastRowFirstColumn="0" w:lastRowLastColumn="0"/>
          <w:cantSplit w:val="0"/>
          <w:trHeight w:val="20"/>
        </w:trPr>
        <w:tc>
          <w:tcPr>
            <w:cnfStyle w:val="001000000000" w:firstRow="0" w:lastRow="0" w:firstColumn="1" w:lastColumn="0" w:oddVBand="0" w:evenVBand="0" w:oddHBand="0" w:evenHBand="0" w:firstRowFirstColumn="0" w:firstRowLastColumn="0" w:lastRowFirstColumn="0" w:lastRowLastColumn="0"/>
            <w:tcW w:w="2268" w:type="dxa"/>
          </w:tcPr>
          <w:p w14:paraId="479F301C" w14:textId="77777777" w:rsidR="00786E74" w:rsidRPr="00FE0F2D" w:rsidRDefault="00786E74" w:rsidP="009B4D8F">
            <w:pPr>
              <w:pStyle w:val="TableText"/>
            </w:pPr>
            <w:r w:rsidRPr="00FE0F2D">
              <w:t>S67</w:t>
            </w:r>
          </w:p>
        </w:tc>
        <w:tc>
          <w:tcPr>
            <w:tcW w:w="7655" w:type="dxa"/>
          </w:tcPr>
          <w:p w14:paraId="41058F58" w14:textId="77777777" w:rsidR="00786E74" w:rsidRPr="00FE0F2D" w:rsidRDefault="00786E74" w:rsidP="009B4D8F">
            <w:pPr>
              <w:pStyle w:val="TableText"/>
              <w:cnfStyle w:val="000000010000" w:firstRow="0" w:lastRow="0" w:firstColumn="0" w:lastColumn="0" w:oddVBand="0" w:evenVBand="0" w:oddHBand="0" w:evenHBand="1" w:firstRowFirstColumn="0" w:firstRowLastColumn="0" w:lastRowFirstColumn="0" w:lastRowLastColumn="0"/>
            </w:pPr>
            <w:r w:rsidRPr="00FE0F2D">
              <w:t>The trustees of the fund must not borrow any money or maintain an existing borrowing (not listed as an exception)</w:t>
            </w:r>
          </w:p>
        </w:tc>
      </w:tr>
      <w:tr w:rsidR="00786E74" w:rsidRPr="00FE0F2D" w14:paraId="62ACCF59" w14:textId="77777777" w:rsidTr="00ED33BC">
        <w:trPr>
          <w:cantSplit w:val="0"/>
          <w:trHeight w:val="20"/>
        </w:trPr>
        <w:tc>
          <w:tcPr>
            <w:cnfStyle w:val="001000000000" w:firstRow="0" w:lastRow="0" w:firstColumn="1" w:lastColumn="0" w:oddVBand="0" w:evenVBand="0" w:oddHBand="0" w:evenHBand="0" w:firstRowFirstColumn="0" w:firstRowLastColumn="0" w:lastRowFirstColumn="0" w:lastRowLastColumn="0"/>
            <w:tcW w:w="2268" w:type="dxa"/>
          </w:tcPr>
          <w:p w14:paraId="27E4DA06" w14:textId="77777777" w:rsidR="00786E74" w:rsidRPr="00FE0F2D" w:rsidRDefault="00786E74" w:rsidP="009B4D8F">
            <w:pPr>
              <w:pStyle w:val="TableText"/>
            </w:pPr>
            <w:r w:rsidRPr="00FE0F2D">
              <w:t>S67A &amp; 67B</w:t>
            </w:r>
          </w:p>
        </w:tc>
        <w:tc>
          <w:tcPr>
            <w:tcW w:w="7655" w:type="dxa"/>
          </w:tcPr>
          <w:p w14:paraId="118CD3FA" w14:textId="77777777" w:rsidR="00786E74" w:rsidRPr="00FE0F2D" w:rsidRDefault="00786E74" w:rsidP="009B4D8F">
            <w:pPr>
              <w:pStyle w:val="TableText"/>
              <w:cnfStyle w:val="000000000000" w:firstRow="0" w:lastRow="0" w:firstColumn="0" w:lastColumn="0" w:oddVBand="0" w:evenVBand="0" w:oddHBand="0" w:evenHBand="0" w:firstRowFirstColumn="0" w:firstRowLastColumn="0" w:lastRowFirstColumn="0" w:lastRowLastColumn="0"/>
              <w:rPr>
                <w:color w:val="000080"/>
              </w:rPr>
            </w:pPr>
            <w:r w:rsidRPr="00FE0F2D">
              <w:t>The fund must comply with the limited recourse borrowing arrangement rules when borrowing to purchase single acquirable asset or replacement assets (not listed as an exception to the borrowing rules)</w:t>
            </w:r>
          </w:p>
        </w:tc>
      </w:tr>
      <w:tr w:rsidR="00786E74" w:rsidRPr="00FE0F2D" w14:paraId="02F48CD1" w14:textId="77777777" w:rsidTr="00ED33BC">
        <w:trPr>
          <w:cnfStyle w:val="000000010000" w:firstRow="0" w:lastRow="0" w:firstColumn="0" w:lastColumn="0" w:oddVBand="0" w:evenVBand="0" w:oddHBand="0" w:evenHBand="1" w:firstRowFirstColumn="0" w:firstRowLastColumn="0" w:lastRowFirstColumn="0" w:lastRowLastColumn="0"/>
          <w:cantSplit w:val="0"/>
          <w:trHeight w:val="20"/>
        </w:trPr>
        <w:tc>
          <w:tcPr>
            <w:cnfStyle w:val="001000000000" w:firstRow="0" w:lastRow="0" w:firstColumn="1" w:lastColumn="0" w:oddVBand="0" w:evenVBand="0" w:oddHBand="0" w:evenHBand="0" w:firstRowFirstColumn="0" w:firstRowLastColumn="0" w:lastRowFirstColumn="0" w:lastRowLastColumn="0"/>
            <w:tcW w:w="2268" w:type="dxa"/>
          </w:tcPr>
          <w:p w14:paraId="1A9B65A5" w14:textId="77777777" w:rsidR="00786E74" w:rsidRPr="00FE0F2D" w:rsidRDefault="00786E74" w:rsidP="009B4D8F">
            <w:pPr>
              <w:pStyle w:val="TableText"/>
            </w:pPr>
            <w:r w:rsidRPr="00FE0F2D">
              <w:t>S82-85</w:t>
            </w:r>
          </w:p>
        </w:tc>
        <w:tc>
          <w:tcPr>
            <w:tcW w:w="7655" w:type="dxa"/>
          </w:tcPr>
          <w:p w14:paraId="56973C63" w14:textId="77777777" w:rsidR="00786E74" w:rsidRPr="00FE0F2D" w:rsidRDefault="00786E74" w:rsidP="009B4D8F">
            <w:pPr>
              <w:pStyle w:val="TableText"/>
              <w:cnfStyle w:val="000000010000" w:firstRow="0" w:lastRow="0" w:firstColumn="0" w:lastColumn="0" w:oddVBand="0" w:evenVBand="0" w:oddHBand="0" w:evenHBand="1" w:firstRowFirstColumn="0" w:firstRowLastColumn="0" w:lastRowFirstColumn="0" w:lastRowLastColumn="0"/>
            </w:pPr>
            <w:r w:rsidRPr="00FE0F2D">
              <w:t xml:space="preserve">The trustees must comply with the in-house asset rules </w:t>
            </w:r>
          </w:p>
        </w:tc>
      </w:tr>
      <w:tr w:rsidR="00786E74" w:rsidRPr="00FE0F2D" w14:paraId="0521CBBC" w14:textId="77777777" w:rsidTr="00ED33BC">
        <w:trPr>
          <w:cantSplit w:val="0"/>
          <w:trHeight w:val="20"/>
        </w:trPr>
        <w:tc>
          <w:tcPr>
            <w:cnfStyle w:val="001000000000" w:firstRow="0" w:lastRow="0" w:firstColumn="1" w:lastColumn="0" w:oddVBand="0" w:evenVBand="0" w:oddHBand="0" w:evenHBand="0" w:firstRowFirstColumn="0" w:firstRowLastColumn="0" w:lastRowFirstColumn="0" w:lastRowLastColumn="0"/>
            <w:tcW w:w="2268" w:type="dxa"/>
          </w:tcPr>
          <w:p w14:paraId="7ACAE226" w14:textId="77777777" w:rsidR="00786E74" w:rsidRPr="00FE0F2D" w:rsidRDefault="00786E74" w:rsidP="009B4D8F">
            <w:pPr>
              <w:pStyle w:val="TableText"/>
            </w:pPr>
            <w:r w:rsidRPr="00FE0F2D">
              <w:t>S103</w:t>
            </w:r>
          </w:p>
        </w:tc>
        <w:tc>
          <w:tcPr>
            <w:tcW w:w="7655" w:type="dxa"/>
          </w:tcPr>
          <w:p w14:paraId="5452BCCC" w14:textId="77777777" w:rsidR="00786E74" w:rsidRPr="00FE0F2D" w:rsidRDefault="00786E74" w:rsidP="009B4D8F">
            <w:pPr>
              <w:pStyle w:val="TableText"/>
              <w:cnfStyle w:val="000000000000" w:firstRow="0" w:lastRow="0" w:firstColumn="0" w:lastColumn="0" w:oddVBand="0" w:evenVBand="0" w:oddHBand="0" w:evenHBand="0" w:firstRowFirstColumn="0" w:firstRowLastColumn="0" w:lastRowFirstColumn="0" w:lastRowLastColumn="0"/>
            </w:pPr>
            <w:r w:rsidRPr="00FE0F2D">
              <w:t>The trustees must keep minutes of all meetings and retain the minutes for a minimum of 10</w:t>
            </w:r>
            <w:r>
              <w:t> </w:t>
            </w:r>
            <w:r w:rsidRPr="00FE0F2D">
              <w:t>years</w:t>
            </w:r>
          </w:p>
        </w:tc>
      </w:tr>
      <w:tr w:rsidR="00786E74" w:rsidRPr="00FE0F2D" w14:paraId="2F8760F4" w14:textId="77777777" w:rsidTr="00ED33BC">
        <w:trPr>
          <w:cnfStyle w:val="000000010000" w:firstRow="0" w:lastRow="0" w:firstColumn="0" w:lastColumn="0" w:oddVBand="0" w:evenVBand="0" w:oddHBand="0" w:evenHBand="1" w:firstRowFirstColumn="0" w:firstRowLastColumn="0" w:lastRowFirstColumn="0" w:lastRowLastColumn="0"/>
          <w:cantSplit w:val="0"/>
          <w:trHeight w:val="20"/>
        </w:trPr>
        <w:tc>
          <w:tcPr>
            <w:cnfStyle w:val="001000000000" w:firstRow="0" w:lastRow="0" w:firstColumn="1" w:lastColumn="0" w:oddVBand="0" w:evenVBand="0" w:oddHBand="0" w:evenHBand="0" w:firstRowFirstColumn="0" w:firstRowLastColumn="0" w:lastRowFirstColumn="0" w:lastRowLastColumn="0"/>
            <w:tcW w:w="2268" w:type="dxa"/>
          </w:tcPr>
          <w:p w14:paraId="7C9194CE" w14:textId="77777777" w:rsidR="00786E74" w:rsidRPr="00FE0F2D" w:rsidRDefault="00786E74" w:rsidP="009B4D8F">
            <w:pPr>
              <w:pStyle w:val="TableText"/>
            </w:pPr>
            <w:r w:rsidRPr="00FE0F2D">
              <w:t>S104</w:t>
            </w:r>
          </w:p>
        </w:tc>
        <w:tc>
          <w:tcPr>
            <w:tcW w:w="7655" w:type="dxa"/>
          </w:tcPr>
          <w:p w14:paraId="780694CC" w14:textId="77777777" w:rsidR="00786E74" w:rsidRPr="00FE0F2D" w:rsidRDefault="00786E74" w:rsidP="009B4D8F">
            <w:pPr>
              <w:pStyle w:val="TableText"/>
              <w:cnfStyle w:val="000000010000" w:firstRow="0" w:lastRow="0" w:firstColumn="0" w:lastColumn="0" w:oddVBand="0" w:evenVBand="0" w:oddHBand="0" w:evenHBand="1" w:firstRowFirstColumn="0" w:firstRowLastColumn="0" w:lastRowFirstColumn="0" w:lastRowLastColumn="0"/>
            </w:pPr>
            <w:r w:rsidRPr="00FE0F2D">
              <w:t>The trustees must keep up to date records of all trustee or director of corporate trustee changes and trustee consents for a minimum of 10</w:t>
            </w:r>
            <w:r>
              <w:t> </w:t>
            </w:r>
            <w:r w:rsidRPr="00FE0F2D">
              <w:t>years</w:t>
            </w:r>
          </w:p>
        </w:tc>
      </w:tr>
      <w:tr w:rsidR="00786E74" w:rsidRPr="00FE0F2D" w14:paraId="25CB51D9" w14:textId="77777777" w:rsidTr="00ED33BC">
        <w:trPr>
          <w:cantSplit w:val="0"/>
          <w:trHeight w:val="20"/>
        </w:trPr>
        <w:tc>
          <w:tcPr>
            <w:cnfStyle w:val="001000000000" w:firstRow="0" w:lastRow="0" w:firstColumn="1" w:lastColumn="0" w:oddVBand="0" w:evenVBand="0" w:oddHBand="0" w:evenHBand="0" w:firstRowFirstColumn="0" w:firstRowLastColumn="0" w:lastRowFirstColumn="0" w:lastRowLastColumn="0"/>
            <w:tcW w:w="2268" w:type="dxa"/>
          </w:tcPr>
          <w:p w14:paraId="779F3A71" w14:textId="77777777" w:rsidR="00786E74" w:rsidRPr="00FE0F2D" w:rsidRDefault="00786E74" w:rsidP="009B4D8F">
            <w:pPr>
              <w:pStyle w:val="TableText"/>
            </w:pPr>
            <w:r w:rsidRPr="00FE0F2D">
              <w:t>S104A</w:t>
            </w:r>
          </w:p>
        </w:tc>
        <w:tc>
          <w:tcPr>
            <w:tcW w:w="7655" w:type="dxa"/>
          </w:tcPr>
          <w:p w14:paraId="3291FE08" w14:textId="77777777" w:rsidR="00786E74" w:rsidRPr="00FE0F2D" w:rsidRDefault="00786E74" w:rsidP="009B4D8F">
            <w:pPr>
              <w:pStyle w:val="TableText"/>
              <w:cnfStyle w:val="000000000000" w:firstRow="0" w:lastRow="0" w:firstColumn="0" w:lastColumn="0" w:oddVBand="0" w:evenVBand="0" w:oddHBand="0" w:evenHBand="0" w:firstRowFirstColumn="0" w:firstRowLastColumn="0" w:lastRowFirstColumn="0" w:lastRowLastColumn="0"/>
            </w:pPr>
            <w:r w:rsidRPr="00FE0F2D">
              <w:t>Trustees who became a trustee on or after 1</w:t>
            </w:r>
            <w:r>
              <w:t> </w:t>
            </w:r>
            <w:r w:rsidRPr="00FE0F2D">
              <w:t>July 2007 must sign and retain a trustee declaration</w:t>
            </w:r>
          </w:p>
        </w:tc>
      </w:tr>
      <w:tr w:rsidR="00786E74" w:rsidRPr="00FE0F2D" w14:paraId="6BA44EE5" w14:textId="77777777" w:rsidTr="00ED33BC">
        <w:trPr>
          <w:cnfStyle w:val="000000010000" w:firstRow="0" w:lastRow="0" w:firstColumn="0" w:lastColumn="0" w:oddVBand="0" w:evenVBand="0" w:oddHBand="0" w:evenHBand="1" w:firstRowFirstColumn="0" w:firstRowLastColumn="0" w:lastRowFirstColumn="0" w:lastRowLastColumn="0"/>
          <w:cantSplit w:val="0"/>
          <w:trHeight w:val="20"/>
        </w:trPr>
        <w:tc>
          <w:tcPr>
            <w:cnfStyle w:val="001000000000" w:firstRow="0" w:lastRow="0" w:firstColumn="1" w:lastColumn="0" w:oddVBand="0" w:evenVBand="0" w:oddHBand="0" w:evenHBand="0" w:firstRowFirstColumn="0" w:firstRowLastColumn="0" w:lastRowFirstColumn="0" w:lastRowLastColumn="0"/>
            <w:tcW w:w="2268" w:type="dxa"/>
          </w:tcPr>
          <w:p w14:paraId="040FBC9D" w14:textId="77777777" w:rsidR="00786E74" w:rsidRPr="00FE0F2D" w:rsidRDefault="00786E74" w:rsidP="009B4D8F">
            <w:pPr>
              <w:pStyle w:val="TableText"/>
            </w:pPr>
            <w:r w:rsidRPr="00FE0F2D">
              <w:t>S105</w:t>
            </w:r>
          </w:p>
        </w:tc>
        <w:tc>
          <w:tcPr>
            <w:tcW w:w="7655" w:type="dxa"/>
          </w:tcPr>
          <w:p w14:paraId="6AC39126" w14:textId="77777777" w:rsidR="00786E74" w:rsidRPr="00FE0F2D" w:rsidRDefault="00786E74" w:rsidP="009B4D8F">
            <w:pPr>
              <w:pStyle w:val="TableText"/>
              <w:cnfStyle w:val="000000010000" w:firstRow="0" w:lastRow="0" w:firstColumn="0" w:lastColumn="0" w:oddVBand="0" w:evenVBand="0" w:oddHBand="0" w:evenHBand="1" w:firstRowFirstColumn="0" w:firstRowLastColumn="0" w:lastRowFirstColumn="0" w:lastRowLastColumn="0"/>
            </w:pPr>
            <w:r w:rsidRPr="00FE0F2D">
              <w:t>The trustees must ensure that copies of all member or beneficiary reports are kept for a minimum of 10</w:t>
            </w:r>
            <w:r>
              <w:t> </w:t>
            </w:r>
            <w:r w:rsidRPr="00FE0F2D">
              <w:t>years</w:t>
            </w:r>
          </w:p>
        </w:tc>
      </w:tr>
      <w:tr w:rsidR="00786E74" w:rsidRPr="00FE0F2D" w14:paraId="7C2E2AE9" w14:textId="77777777" w:rsidTr="00ED33BC">
        <w:trPr>
          <w:cantSplit w:val="0"/>
          <w:trHeight w:val="20"/>
        </w:trPr>
        <w:tc>
          <w:tcPr>
            <w:cnfStyle w:val="001000000000" w:firstRow="0" w:lastRow="0" w:firstColumn="1" w:lastColumn="0" w:oddVBand="0" w:evenVBand="0" w:oddHBand="0" w:evenHBand="0" w:firstRowFirstColumn="0" w:firstRowLastColumn="0" w:lastRowFirstColumn="0" w:lastRowLastColumn="0"/>
            <w:tcW w:w="2268" w:type="dxa"/>
          </w:tcPr>
          <w:p w14:paraId="19739D35" w14:textId="77777777" w:rsidR="00786E74" w:rsidRPr="00FE0F2D" w:rsidRDefault="00786E74" w:rsidP="009B4D8F">
            <w:pPr>
              <w:pStyle w:val="TableText"/>
            </w:pPr>
            <w:r w:rsidRPr="00FE0F2D">
              <w:t>S109</w:t>
            </w:r>
          </w:p>
        </w:tc>
        <w:tc>
          <w:tcPr>
            <w:tcW w:w="7655" w:type="dxa"/>
          </w:tcPr>
          <w:p w14:paraId="0362B108" w14:textId="77777777" w:rsidR="00786E74" w:rsidRPr="00FE0F2D" w:rsidRDefault="00786E74" w:rsidP="009B4D8F">
            <w:pPr>
              <w:pStyle w:val="TableText"/>
              <w:cnfStyle w:val="000000000000" w:firstRow="0" w:lastRow="0" w:firstColumn="0" w:lastColumn="0" w:oddVBand="0" w:evenVBand="0" w:oddHBand="0" w:evenHBand="0" w:firstRowFirstColumn="0" w:firstRowLastColumn="0" w:lastRowFirstColumn="0" w:lastRowLastColumn="0"/>
            </w:pPr>
            <w:r w:rsidRPr="00FE0F2D">
              <w:t>All investment transactions must be made and maintained at arms-length – that is, purchase, sale price and income from an asset reflects a true market value</w:t>
            </w:r>
            <w:r>
              <w:t xml:space="preserve"> and or </w:t>
            </w:r>
            <w:r w:rsidRPr="00FE0F2D">
              <w:t>rate of return</w:t>
            </w:r>
          </w:p>
        </w:tc>
      </w:tr>
      <w:tr w:rsidR="00786E74" w:rsidRPr="00FE0F2D" w14:paraId="58524579" w14:textId="77777777" w:rsidTr="00ED33BC">
        <w:trPr>
          <w:cnfStyle w:val="000000010000" w:firstRow="0" w:lastRow="0" w:firstColumn="0" w:lastColumn="0" w:oddVBand="0" w:evenVBand="0" w:oddHBand="0" w:evenHBand="1" w:firstRowFirstColumn="0" w:firstRowLastColumn="0" w:lastRowFirstColumn="0" w:lastRowLastColumn="0"/>
          <w:cantSplit w:val="0"/>
          <w:trHeight w:val="20"/>
        </w:trPr>
        <w:tc>
          <w:tcPr>
            <w:cnfStyle w:val="001000000000" w:firstRow="0" w:lastRow="0" w:firstColumn="1" w:lastColumn="0" w:oddVBand="0" w:evenVBand="0" w:oddHBand="0" w:evenHBand="0" w:firstRowFirstColumn="0" w:firstRowLastColumn="0" w:lastRowFirstColumn="0" w:lastRowLastColumn="0"/>
            <w:tcW w:w="2268" w:type="dxa"/>
          </w:tcPr>
          <w:p w14:paraId="123136E4" w14:textId="77777777" w:rsidR="00786E74" w:rsidRPr="00FE0F2D" w:rsidRDefault="00786E74" w:rsidP="009B4D8F">
            <w:pPr>
              <w:pStyle w:val="TableText"/>
            </w:pPr>
            <w:r w:rsidRPr="00FE0F2D">
              <w:t>S126K</w:t>
            </w:r>
          </w:p>
        </w:tc>
        <w:tc>
          <w:tcPr>
            <w:tcW w:w="7655" w:type="dxa"/>
          </w:tcPr>
          <w:p w14:paraId="05138141" w14:textId="77777777" w:rsidR="00786E74" w:rsidRPr="00FE0F2D" w:rsidRDefault="00786E74" w:rsidP="009B4D8F">
            <w:pPr>
              <w:pStyle w:val="TableText"/>
              <w:cnfStyle w:val="000000010000" w:firstRow="0" w:lastRow="0" w:firstColumn="0" w:lastColumn="0" w:oddVBand="0" w:evenVBand="0" w:oddHBand="0" w:evenHBand="1" w:firstRowFirstColumn="0" w:firstRowLastColumn="0" w:lastRowFirstColumn="0" w:lastRowLastColumn="0"/>
            </w:pPr>
            <w:r w:rsidRPr="00FE0F2D">
              <w:t>A disqualified person cannot be a trustee, investment manager or custodian of a superannuation fund</w:t>
            </w:r>
          </w:p>
        </w:tc>
      </w:tr>
      <w:tr w:rsidR="00786E74" w:rsidRPr="00FE0F2D" w14:paraId="5277B2BB" w14:textId="77777777" w:rsidTr="00ED33BC">
        <w:trPr>
          <w:cantSplit w:val="0"/>
          <w:trHeight w:val="20"/>
        </w:trPr>
        <w:tc>
          <w:tcPr>
            <w:cnfStyle w:val="001000000000" w:firstRow="0" w:lastRow="0" w:firstColumn="1" w:lastColumn="0" w:oddVBand="0" w:evenVBand="0" w:oddHBand="0" w:evenHBand="0" w:firstRowFirstColumn="0" w:firstRowLastColumn="0" w:lastRowFirstColumn="0" w:lastRowLastColumn="0"/>
            <w:tcW w:w="2268" w:type="dxa"/>
          </w:tcPr>
          <w:p w14:paraId="674008E6" w14:textId="77777777" w:rsidR="00786E74" w:rsidRPr="00FE0F2D" w:rsidRDefault="00786E74" w:rsidP="009B4D8F">
            <w:pPr>
              <w:pStyle w:val="TableText"/>
            </w:pPr>
            <w:r w:rsidRPr="00FE0F2D">
              <w:t>Sub Reg 1.06 (9A)</w:t>
            </w:r>
          </w:p>
        </w:tc>
        <w:tc>
          <w:tcPr>
            <w:tcW w:w="7655" w:type="dxa"/>
          </w:tcPr>
          <w:p w14:paraId="1EA24682" w14:textId="77777777" w:rsidR="00786E74" w:rsidRPr="00FE0F2D" w:rsidRDefault="00786E74" w:rsidP="009B4D8F">
            <w:pPr>
              <w:pStyle w:val="TableText"/>
              <w:cnfStyle w:val="000000000000" w:firstRow="0" w:lastRow="0" w:firstColumn="0" w:lastColumn="0" w:oddVBand="0" w:evenVBand="0" w:oddHBand="0" w:evenHBand="0" w:firstRowFirstColumn="0" w:firstRowLastColumn="0" w:lastRowFirstColumn="0" w:lastRowLastColumn="0"/>
            </w:pPr>
            <w:r w:rsidRPr="00FE0F2D">
              <w:t>Pension payments must be made at least annually, and must be at least the amount calculated under Schedule</w:t>
            </w:r>
            <w:r>
              <w:t> </w:t>
            </w:r>
            <w:r w:rsidRPr="00FE0F2D">
              <w:t>7</w:t>
            </w:r>
          </w:p>
        </w:tc>
      </w:tr>
      <w:tr w:rsidR="00786E74" w:rsidRPr="00FE0F2D" w14:paraId="46F006BB" w14:textId="77777777" w:rsidTr="00ED33BC">
        <w:trPr>
          <w:cnfStyle w:val="000000010000" w:firstRow="0" w:lastRow="0" w:firstColumn="0" w:lastColumn="0" w:oddVBand="0" w:evenVBand="0" w:oddHBand="0" w:evenHBand="1" w:firstRowFirstColumn="0" w:firstRowLastColumn="0" w:lastRowFirstColumn="0" w:lastRowLastColumn="0"/>
          <w:cantSplit w:val="0"/>
          <w:trHeight w:val="20"/>
        </w:trPr>
        <w:tc>
          <w:tcPr>
            <w:cnfStyle w:val="001000000000" w:firstRow="0" w:lastRow="0" w:firstColumn="1" w:lastColumn="0" w:oddVBand="0" w:evenVBand="0" w:oddHBand="0" w:evenHBand="0" w:firstRowFirstColumn="0" w:firstRowLastColumn="0" w:lastRowFirstColumn="0" w:lastRowLastColumn="0"/>
            <w:tcW w:w="2268" w:type="dxa"/>
          </w:tcPr>
          <w:p w14:paraId="5510910A" w14:textId="77777777" w:rsidR="00786E74" w:rsidRPr="00FE0F2D" w:rsidRDefault="00786E74" w:rsidP="009B4D8F">
            <w:pPr>
              <w:pStyle w:val="TableText"/>
            </w:pPr>
            <w:r w:rsidRPr="00FE0F2D">
              <w:t>Reg 4.09</w:t>
            </w:r>
          </w:p>
        </w:tc>
        <w:tc>
          <w:tcPr>
            <w:tcW w:w="7655" w:type="dxa"/>
          </w:tcPr>
          <w:p w14:paraId="7799160E" w14:textId="77777777" w:rsidR="00786E74" w:rsidRPr="00FE0F2D" w:rsidRDefault="00786E74" w:rsidP="009B4D8F">
            <w:pPr>
              <w:pStyle w:val="TableText"/>
              <w:cnfStyle w:val="000000010000" w:firstRow="0" w:lastRow="0" w:firstColumn="0" w:lastColumn="0" w:oddVBand="0" w:evenVBand="0" w:oddHBand="0" w:evenHBand="1" w:firstRowFirstColumn="0" w:firstRowLastColumn="0" w:lastRowFirstColumn="0" w:lastRowLastColumn="0"/>
            </w:pPr>
            <w:r w:rsidRPr="00FE0F2D">
              <w:t xml:space="preserve">Trustees must formulate, regularly </w:t>
            </w:r>
            <w:proofErr w:type="gramStart"/>
            <w:r w:rsidRPr="00FE0F2D">
              <w:t>review</w:t>
            </w:r>
            <w:proofErr w:type="gramEnd"/>
            <w:r w:rsidRPr="00FE0F2D">
              <w:t xml:space="preserve"> and give effect to an investment strategy for the fund</w:t>
            </w:r>
          </w:p>
        </w:tc>
      </w:tr>
      <w:tr w:rsidR="00786E74" w:rsidRPr="00FE0F2D" w14:paraId="78B91703" w14:textId="77777777" w:rsidTr="00ED33BC">
        <w:trPr>
          <w:cantSplit w:val="0"/>
          <w:trHeight w:val="20"/>
        </w:trPr>
        <w:tc>
          <w:tcPr>
            <w:cnfStyle w:val="001000000000" w:firstRow="0" w:lastRow="0" w:firstColumn="1" w:lastColumn="0" w:oddVBand="0" w:evenVBand="0" w:oddHBand="0" w:evenHBand="0" w:firstRowFirstColumn="0" w:firstRowLastColumn="0" w:lastRowFirstColumn="0" w:lastRowLastColumn="0"/>
            <w:tcW w:w="2268" w:type="dxa"/>
          </w:tcPr>
          <w:p w14:paraId="013F004A" w14:textId="77777777" w:rsidR="00786E74" w:rsidRPr="00FE0F2D" w:rsidRDefault="00786E74" w:rsidP="009B4D8F">
            <w:pPr>
              <w:pStyle w:val="TableText"/>
            </w:pPr>
            <w:r w:rsidRPr="00FE0F2D">
              <w:t>Reg 4.09A</w:t>
            </w:r>
          </w:p>
        </w:tc>
        <w:tc>
          <w:tcPr>
            <w:tcW w:w="7655" w:type="dxa"/>
          </w:tcPr>
          <w:p w14:paraId="68FACDE1" w14:textId="77777777" w:rsidR="00786E74" w:rsidRPr="00FE0F2D" w:rsidRDefault="00786E74" w:rsidP="009B4D8F">
            <w:pPr>
              <w:pStyle w:val="TableText"/>
              <w:cnfStyle w:val="000000000000" w:firstRow="0" w:lastRow="0" w:firstColumn="0" w:lastColumn="0" w:oddVBand="0" w:evenVBand="0" w:oddHBand="0" w:evenHBand="0" w:firstRowFirstColumn="0" w:firstRowLastColumn="0" w:lastRowFirstColumn="0" w:lastRowLastColumn="0"/>
            </w:pPr>
            <w:r w:rsidRPr="00FE0F2D">
              <w:t>The assets of the SMSF must be held separately from any assets held by the trustee personally or by a standard employer sponsor or an associate of the standard employer sponsor</w:t>
            </w:r>
          </w:p>
        </w:tc>
      </w:tr>
      <w:tr w:rsidR="00786E74" w:rsidRPr="00FE0F2D" w14:paraId="759E3B5D" w14:textId="77777777" w:rsidTr="00ED33BC">
        <w:trPr>
          <w:cnfStyle w:val="000000010000" w:firstRow="0" w:lastRow="0" w:firstColumn="0" w:lastColumn="0" w:oddVBand="0" w:evenVBand="0" w:oddHBand="0" w:evenHBand="1" w:firstRowFirstColumn="0" w:firstRowLastColumn="0" w:lastRowFirstColumn="0" w:lastRowLastColumn="0"/>
          <w:cantSplit w:val="0"/>
          <w:trHeight w:val="20"/>
        </w:trPr>
        <w:tc>
          <w:tcPr>
            <w:cnfStyle w:val="001000000000" w:firstRow="0" w:lastRow="0" w:firstColumn="1" w:lastColumn="0" w:oddVBand="0" w:evenVBand="0" w:oddHBand="0" w:evenHBand="0" w:firstRowFirstColumn="0" w:firstRowLastColumn="0" w:lastRowFirstColumn="0" w:lastRowLastColumn="0"/>
            <w:tcW w:w="2268" w:type="dxa"/>
          </w:tcPr>
          <w:p w14:paraId="6FB4D76E" w14:textId="77777777" w:rsidR="00786E74" w:rsidRPr="00FE0F2D" w:rsidRDefault="00786E74" w:rsidP="009B4D8F">
            <w:pPr>
              <w:pStyle w:val="TableText"/>
            </w:pPr>
            <w:r w:rsidRPr="00FE0F2D">
              <w:t>Reg 5.03</w:t>
            </w:r>
          </w:p>
        </w:tc>
        <w:tc>
          <w:tcPr>
            <w:tcW w:w="7655" w:type="dxa"/>
          </w:tcPr>
          <w:p w14:paraId="07B99538" w14:textId="77777777" w:rsidR="00786E74" w:rsidRPr="00FE0F2D" w:rsidRDefault="00786E74" w:rsidP="009B4D8F">
            <w:pPr>
              <w:pStyle w:val="TableText"/>
              <w:cnfStyle w:val="000000010000" w:firstRow="0" w:lastRow="0" w:firstColumn="0" w:lastColumn="0" w:oddVBand="0" w:evenVBand="0" w:oddHBand="0" w:evenHBand="1" w:firstRowFirstColumn="0" w:firstRowLastColumn="0" w:lastRowFirstColumn="0" w:lastRowLastColumn="0"/>
            </w:pPr>
            <w:r w:rsidRPr="00FE0F2D">
              <w:t>Investment returns must be allocated to members in a manner that is fair and reasonable</w:t>
            </w:r>
          </w:p>
        </w:tc>
      </w:tr>
      <w:tr w:rsidR="00786E74" w:rsidRPr="00FE0F2D" w14:paraId="5BE10E98" w14:textId="77777777" w:rsidTr="00ED33BC">
        <w:trPr>
          <w:cantSplit w:val="0"/>
          <w:trHeight w:val="20"/>
        </w:trPr>
        <w:tc>
          <w:tcPr>
            <w:cnfStyle w:val="001000000000" w:firstRow="0" w:lastRow="0" w:firstColumn="1" w:lastColumn="0" w:oddVBand="0" w:evenVBand="0" w:oddHBand="0" w:evenHBand="0" w:firstRowFirstColumn="0" w:firstRowLastColumn="0" w:lastRowFirstColumn="0" w:lastRowLastColumn="0"/>
            <w:tcW w:w="2268" w:type="dxa"/>
          </w:tcPr>
          <w:p w14:paraId="52585D90" w14:textId="77777777" w:rsidR="00786E74" w:rsidRPr="00FE0F2D" w:rsidRDefault="00786E74" w:rsidP="009B4D8F">
            <w:pPr>
              <w:pStyle w:val="TableText"/>
            </w:pPr>
            <w:r w:rsidRPr="00FE0F2D">
              <w:t>Reg 5.08</w:t>
            </w:r>
          </w:p>
        </w:tc>
        <w:tc>
          <w:tcPr>
            <w:tcW w:w="7655" w:type="dxa"/>
          </w:tcPr>
          <w:p w14:paraId="230A440B" w14:textId="77777777" w:rsidR="00786E74" w:rsidRPr="00FE0F2D" w:rsidRDefault="00786E74" w:rsidP="009B4D8F">
            <w:pPr>
              <w:pStyle w:val="TableText"/>
              <w:cnfStyle w:val="000000000000" w:firstRow="0" w:lastRow="0" w:firstColumn="0" w:lastColumn="0" w:oddVBand="0" w:evenVBand="0" w:oddHBand="0" w:evenHBand="0" w:firstRowFirstColumn="0" w:firstRowLastColumn="0" w:lastRowFirstColumn="0" w:lastRowLastColumn="0"/>
            </w:pPr>
            <w:r w:rsidRPr="00FE0F2D">
              <w:t>Member minimum benefits must be maintained in the fund until transferred, rolled over, allotted (to the member’s spouse) or cashed out in a permitted fashion</w:t>
            </w:r>
          </w:p>
        </w:tc>
      </w:tr>
      <w:tr w:rsidR="00786E74" w:rsidRPr="00FE0F2D" w14:paraId="6C4CBA01" w14:textId="77777777" w:rsidTr="00ED33BC">
        <w:trPr>
          <w:cnfStyle w:val="000000010000" w:firstRow="0" w:lastRow="0" w:firstColumn="0" w:lastColumn="0" w:oddVBand="0" w:evenVBand="0" w:oddHBand="0" w:evenHBand="1" w:firstRowFirstColumn="0" w:firstRowLastColumn="0" w:lastRowFirstColumn="0" w:lastRowLastColumn="0"/>
          <w:cantSplit w:val="0"/>
          <w:trHeight w:val="20"/>
        </w:trPr>
        <w:tc>
          <w:tcPr>
            <w:cnfStyle w:val="001000000000" w:firstRow="0" w:lastRow="0" w:firstColumn="1" w:lastColumn="0" w:oddVBand="0" w:evenVBand="0" w:oddHBand="0" w:evenHBand="0" w:firstRowFirstColumn="0" w:firstRowLastColumn="0" w:lastRowFirstColumn="0" w:lastRowLastColumn="0"/>
            <w:tcW w:w="2268" w:type="dxa"/>
          </w:tcPr>
          <w:p w14:paraId="63F9CAB0" w14:textId="77777777" w:rsidR="00786E74" w:rsidRPr="00FE0F2D" w:rsidRDefault="00786E74" w:rsidP="009B4D8F">
            <w:pPr>
              <w:pStyle w:val="TableText"/>
            </w:pPr>
            <w:r w:rsidRPr="00FE0F2D">
              <w:t>Reg 6.17</w:t>
            </w:r>
          </w:p>
        </w:tc>
        <w:tc>
          <w:tcPr>
            <w:tcW w:w="7655" w:type="dxa"/>
          </w:tcPr>
          <w:p w14:paraId="00E1AA3E" w14:textId="77777777" w:rsidR="00786E74" w:rsidRPr="00FE0F2D" w:rsidRDefault="00786E74" w:rsidP="009B4D8F">
            <w:pPr>
              <w:pStyle w:val="TableText"/>
              <w:cnfStyle w:val="000000010000" w:firstRow="0" w:lastRow="0" w:firstColumn="0" w:lastColumn="0" w:oddVBand="0" w:evenVBand="0" w:oddHBand="0" w:evenHBand="1" w:firstRowFirstColumn="0" w:firstRowLastColumn="0" w:lastRowFirstColumn="0" w:lastRowLastColumn="0"/>
            </w:pPr>
            <w:r w:rsidRPr="00FE0F2D">
              <w:t>Payments of member benefits must be made in accordance with Part</w:t>
            </w:r>
            <w:r>
              <w:t> </w:t>
            </w:r>
            <w:r w:rsidRPr="00FE0F2D">
              <w:t>6 or Part 7A of the regulations and be permitted by the trust deed</w:t>
            </w:r>
          </w:p>
        </w:tc>
      </w:tr>
      <w:tr w:rsidR="00786E74" w:rsidRPr="00FE0F2D" w14:paraId="238E9777" w14:textId="77777777" w:rsidTr="00ED33BC">
        <w:trPr>
          <w:cantSplit w:val="0"/>
          <w:trHeight w:val="20"/>
        </w:trPr>
        <w:tc>
          <w:tcPr>
            <w:cnfStyle w:val="001000000000" w:firstRow="0" w:lastRow="0" w:firstColumn="1" w:lastColumn="0" w:oddVBand="0" w:evenVBand="0" w:oddHBand="0" w:evenHBand="0" w:firstRowFirstColumn="0" w:firstRowLastColumn="0" w:lastRowFirstColumn="0" w:lastRowLastColumn="0"/>
            <w:tcW w:w="2268" w:type="dxa"/>
          </w:tcPr>
          <w:p w14:paraId="56889C05" w14:textId="77777777" w:rsidR="00786E74" w:rsidRPr="00FE0F2D" w:rsidRDefault="00786E74" w:rsidP="009B4D8F">
            <w:pPr>
              <w:pStyle w:val="TableText"/>
            </w:pPr>
            <w:r w:rsidRPr="00FE0F2D">
              <w:t>Reg 7.04</w:t>
            </w:r>
          </w:p>
        </w:tc>
        <w:tc>
          <w:tcPr>
            <w:tcW w:w="7655" w:type="dxa"/>
          </w:tcPr>
          <w:p w14:paraId="51D64129" w14:textId="77777777" w:rsidR="00786E74" w:rsidRPr="00FE0F2D" w:rsidRDefault="00786E74" w:rsidP="009B4D8F">
            <w:pPr>
              <w:pStyle w:val="TableText"/>
              <w:cnfStyle w:val="000000000000" w:firstRow="0" w:lastRow="0" w:firstColumn="0" w:lastColumn="0" w:oddVBand="0" w:evenVBand="0" w:oddHBand="0" w:evenHBand="0" w:firstRowFirstColumn="0" w:firstRowLastColumn="0" w:lastRowFirstColumn="0" w:lastRowLastColumn="0"/>
            </w:pPr>
            <w:r w:rsidRPr="00FE0F2D">
              <w:t>Contributions can only be accepted in accordance with the applicable rules for the year being audited</w:t>
            </w:r>
          </w:p>
        </w:tc>
      </w:tr>
      <w:tr w:rsidR="00786E74" w:rsidRPr="00FE0F2D" w14:paraId="61974AB6" w14:textId="77777777" w:rsidTr="00ED33BC">
        <w:trPr>
          <w:cnfStyle w:val="000000010000" w:firstRow="0" w:lastRow="0" w:firstColumn="0" w:lastColumn="0" w:oddVBand="0" w:evenVBand="0" w:oddHBand="0" w:evenHBand="1" w:firstRowFirstColumn="0" w:firstRowLastColumn="0" w:lastRowFirstColumn="0" w:lastRowLastColumn="0"/>
          <w:cantSplit w:val="0"/>
          <w:trHeight w:val="20"/>
        </w:trPr>
        <w:tc>
          <w:tcPr>
            <w:cnfStyle w:val="001000000000" w:firstRow="0" w:lastRow="0" w:firstColumn="1" w:lastColumn="0" w:oddVBand="0" w:evenVBand="0" w:oddHBand="0" w:evenHBand="0" w:firstRowFirstColumn="0" w:firstRowLastColumn="0" w:lastRowFirstColumn="0" w:lastRowLastColumn="0"/>
            <w:tcW w:w="2268" w:type="dxa"/>
          </w:tcPr>
          <w:p w14:paraId="30557457" w14:textId="77777777" w:rsidR="00786E74" w:rsidRPr="00FE0F2D" w:rsidRDefault="00786E74" w:rsidP="009B4D8F">
            <w:pPr>
              <w:pStyle w:val="TableText"/>
            </w:pPr>
            <w:r w:rsidRPr="00FE0F2D">
              <w:t>Reg 8.02B</w:t>
            </w:r>
          </w:p>
        </w:tc>
        <w:tc>
          <w:tcPr>
            <w:tcW w:w="7655" w:type="dxa"/>
          </w:tcPr>
          <w:p w14:paraId="595D0BB7" w14:textId="77777777" w:rsidR="00786E74" w:rsidRPr="00FE0F2D" w:rsidRDefault="00786E74" w:rsidP="009B4D8F">
            <w:pPr>
              <w:pStyle w:val="TableText"/>
              <w:cnfStyle w:val="000000010000" w:firstRow="0" w:lastRow="0" w:firstColumn="0" w:lastColumn="0" w:oddVBand="0" w:evenVBand="0" w:oddHBand="0" w:evenHBand="1" w:firstRowFirstColumn="0" w:firstRowLastColumn="0" w:lastRowFirstColumn="0" w:lastRowLastColumn="0"/>
            </w:pPr>
            <w:bookmarkStart w:id="4" w:name="Content"/>
            <w:r w:rsidRPr="00FE0F2D">
              <w:t>When preparing accounts and statements required by subsection</w:t>
            </w:r>
            <w:bookmarkEnd w:id="4"/>
            <w:r>
              <w:t> </w:t>
            </w:r>
            <w:r w:rsidRPr="00FE0F2D">
              <w:t>35</w:t>
            </w:r>
            <w:proofErr w:type="gramStart"/>
            <w:r w:rsidRPr="00FE0F2D">
              <w:t>B(</w:t>
            </w:r>
            <w:proofErr w:type="gramEnd"/>
            <w:r w:rsidRPr="00FE0F2D">
              <w:t>1) of SISA, an asset must be valued at its market value</w:t>
            </w:r>
          </w:p>
        </w:tc>
      </w:tr>
      <w:tr w:rsidR="00786E74" w:rsidRPr="00FE0F2D" w14:paraId="545634CD" w14:textId="77777777" w:rsidTr="00ED33BC">
        <w:trPr>
          <w:cantSplit w:val="0"/>
          <w:trHeight w:val="20"/>
        </w:trPr>
        <w:tc>
          <w:tcPr>
            <w:cnfStyle w:val="001000000000" w:firstRow="0" w:lastRow="0" w:firstColumn="1" w:lastColumn="0" w:oddVBand="0" w:evenVBand="0" w:oddHBand="0" w:evenHBand="0" w:firstRowFirstColumn="0" w:firstRowLastColumn="0" w:lastRowFirstColumn="0" w:lastRowLastColumn="0"/>
            <w:tcW w:w="2268" w:type="dxa"/>
          </w:tcPr>
          <w:p w14:paraId="041A2327" w14:textId="77777777" w:rsidR="00786E74" w:rsidRPr="00FE0F2D" w:rsidRDefault="00786E74" w:rsidP="009B4D8F">
            <w:pPr>
              <w:pStyle w:val="TableText"/>
            </w:pPr>
            <w:r w:rsidRPr="00FE0F2D">
              <w:t>Reg 13.12</w:t>
            </w:r>
          </w:p>
        </w:tc>
        <w:tc>
          <w:tcPr>
            <w:tcW w:w="7655" w:type="dxa"/>
          </w:tcPr>
          <w:p w14:paraId="79C34C62" w14:textId="77777777" w:rsidR="00786E74" w:rsidRPr="00FE0F2D" w:rsidRDefault="00786E74" w:rsidP="009B4D8F">
            <w:pPr>
              <w:pStyle w:val="TableText"/>
              <w:cnfStyle w:val="000000000000" w:firstRow="0" w:lastRow="0" w:firstColumn="0" w:lastColumn="0" w:oddVBand="0" w:evenVBand="0" w:oddHBand="0" w:evenHBand="0" w:firstRowFirstColumn="0" w:firstRowLastColumn="0" w:lastRowFirstColumn="0" w:lastRowLastColumn="0"/>
            </w:pPr>
            <w:r w:rsidRPr="00FE0F2D">
              <w:t>Trustees must not recognise an assignment of a super interest of a member or beneficiary</w:t>
            </w:r>
          </w:p>
        </w:tc>
      </w:tr>
      <w:tr w:rsidR="00786E74" w:rsidRPr="00FE0F2D" w14:paraId="155B7861" w14:textId="77777777" w:rsidTr="00ED33BC">
        <w:trPr>
          <w:cnfStyle w:val="000000010000" w:firstRow="0" w:lastRow="0" w:firstColumn="0" w:lastColumn="0" w:oddVBand="0" w:evenVBand="0" w:oddHBand="0" w:evenHBand="1" w:firstRowFirstColumn="0" w:firstRowLastColumn="0" w:lastRowFirstColumn="0" w:lastRowLastColumn="0"/>
          <w:cantSplit w:val="0"/>
          <w:trHeight w:val="20"/>
        </w:trPr>
        <w:tc>
          <w:tcPr>
            <w:cnfStyle w:val="001000000000" w:firstRow="0" w:lastRow="0" w:firstColumn="1" w:lastColumn="0" w:oddVBand="0" w:evenVBand="0" w:oddHBand="0" w:evenHBand="0" w:firstRowFirstColumn="0" w:firstRowLastColumn="0" w:lastRowFirstColumn="0" w:lastRowLastColumn="0"/>
            <w:tcW w:w="2268" w:type="dxa"/>
          </w:tcPr>
          <w:p w14:paraId="0A347737" w14:textId="77777777" w:rsidR="00786E74" w:rsidRPr="00FE0F2D" w:rsidRDefault="00786E74" w:rsidP="009B4D8F">
            <w:pPr>
              <w:pStyle w:val="TableText"/>
            </w:pPr>
            <w:r w:rsidRPr="00FE0F2D">
              <w:t>Reg 13.13</w:t>
            </w:r>
          </w:p>
        </w:tc>
        <w:tc>
          <w:tcPr>
            <w:tcW w:w="7655" w:type="dxa"/>
          </w:tcPr>
          <w:p w14:paraId="19CE2B2F" w14:textId="77777777" w:rsidR="00786E74" w:rsidRPr="00FE0F2D" w:rsidRDefault="00786E74" w:rsidP="009B4D8F">
            <w:pPr>
              <w:pStyle w:val="TableText"/>
              <w:cnfStyle w:val="000000010000" w:firstRow="0" w:lastRow="0" w:firstColumn="0" w:lastColumn="0" w:oddVBand="0" w:evenVBand="0" w:oddHBand="0" w:evenHBand="1" w:firstRowFirstColumn="0" w:firstRowLastColumn="0" w:lastRowFirstColumn="0" w:lastRowLastColumn="0"/>
            </w:pPr>
            <w:r w:rsidRPr="00FE0F2D">
              <w:t>Trustees must not recognise a charge over or in relation to a member’s benefits</w:t>
            </w:r>
          </w:p>
        </w:tc>
      </w:tr>
      <w:tr w:rsidR="00786E74" w:rsidRPr="00FE0F2D" w14:paraId="75FB6004" w14:textId="77777777" w:rsidTr="00ED33BC">
        <w:trPr>
          <w:cantSplit w:val="0"/>
          <w:trHeight w:val="20"/>
        </w:trPr>
        <w:tc>
          <w:tcPr>
            <w:cnfStyle w:val="001000000000" w:firstRow="0" w:lastRow="0" w:firstColumn="1" w:lastColumn="0" w:oddVBand="0" w:evenVBand="0" w:oddHBand="0" w:evenHBand="0" w:firstRowFirstColumn="0" w:firstRowLastColumn="0" w:lastRowFirstColumn="0" w:lastRowLastColumn="0"/>
            <w:tcW w:w="2268" w:type="dxa"/>
          </w:tcPr>
          <w:p w14:paraId="7125CD98" w14:textId="77777777" w:rsidR="00786E74" w:rsidRPr="00FE0F2D" w:rsidRDefault="00786E74" w:rsidP="009B4D8F">
            <w:pPr>
              <w:pStyle w:val="TableText"/>
            </w:pPr>
            <w:r w:rsidRPr="00FE0F2D">
              <w:t>Reg 13.14</w:t>
            </w:r>
          </w:p>
        </w:tc>
        <w:tc>
          <w:tcPr>
            <w:tcW w:w="7655" w:type="dxa"/>
          </w:tcPr>
          <w:p w14:paraId="524D2E70" w14:textId="77777777" w:rsidR="00786E74" w:rsidRPr="00FE0F2D" w:rsidRDefault="00786E74" w:rsidP="009B4D8F">
            <w:pPr>
              <w:pStyle w:val="TableText"/>
              <w:cnfStyle w:val="000000000000" w:firstRow="0" w:lastRow="0" w:firstColumn="0" w:lastColumn="0" w:oddVBand="0" w:evenVBand="0" w:oddHBand="0" w:evenHBand="0" w:firstRowFirstColumn="0" w:firstRowLastColumn="0" w:lastRowFirstColumn="0" w:lastRowLastColumn="0"/>
            </w:pPr>
            <w:r w:rsidRPr="00FE0F2D">
              <w:t>Trustees must not give a charge over, or in relation to, an asset of the fund</w:t>
            </w:r>
          </w:p>
        </w:tc>
      </w:tr>
      <w:tr w:rsidR="00786E74" w:rsidRPr="00FE0F2D" w14:paraId="16598242" w14:textId="77777777" w:rsidTr="00ED33BC">
        <w:trPr>
          <w:cnfStyle w:val="010000000000" w:firstRow="0" w:lastRow="1" w:firstColumn="0" w:lastColumn="0" w:oddVBand="0" w:evenVBand="0" w:oddHBand="0" w:evenHBand="0" w:firstRowFirstColumn="0" w:firstRowLastColumn="0" w:lastRowFirstColumn="0" w:lastRowLastColumn="0"/>
          <w:cantSplit w:val="0"/>
          <w:trHeight w:val="20"/>
        </w:trPr>
        <w:tc>
          <w:tcPr>
            <w:cnfStyle w:val="001000000000" w:firstRow="0" w:lastRow="0" w:firstColumn="1" w:lastColumn="0" w:oddVBand="0" w:evenVBand="0" w:oddHBand="0" w:evenHBand="0" w:firstRowFirstColumn="0" w:firstRowLastColumn="0" w:lastRowFirstColumn="0" w:lastRowLastColumn="0"/>
            <w:tcW w:w="2268" w:type="dxa"/>
          </w:tcPr>
          <w:p w14:paraId="479F77C8" w14:textId="77777777" w:rsidR="00786E74" w:rsidRPr="00FE0F2D" w:rsidRDefault="00786E74" w:rsidP="009B4D8F">
            <w:pPr>
              <w:pStyle w:val="TableText"/>
            </w:pPr>
            <w:r w:rsidRPr="00FE0F2D">
              <w:t>Reg 13.18AA</w:t>
            </w:r>
          </w:p>
        </w:tc>
        <w:tc>
          <w:tcPr>
            <w:tcW w:w="7655" w:type="dxa"/>
          </w:tcPr>
          <w:p w14:paraId="4BC31716" w14:textId="77777777" w:rsidR="00786E74" w:rsidRPr="009B4D8F" w:rsidRDefault="00786E74" w:rsidP="009B4D8F">
            <w:pPr>
              <w:pStyle w:val="TableText"/>
              <w:cnfStyle w:val="010000000000" w:firstRow="0" w:lastRow="1" w:firstColumn="0" w:lastColumn="0" w:oddVBand="0" w:evenVBand="0" w:oddHBand="0" w:evenHBand="0" w:firstRowFirstColumn="0" w:firstRowLastColumn="0" w:lastRowFirstColumn="0" w:lastRowLastColumn="0"/>
              <w:rPr>
                <w:b w:val="0"/>
                <w:bCs/>
              </w:rPr>
            </w:pPr>
            <w:r w:rsidRPr="009B4D8F">
              <w:rPr>
                <w:b w:val="0"/>
                <w:bCs/>
              </w:rPr>
              <w:t>Investments in collectables and personal use assets must be maintained in accordance with prescribed rules</w:t>
            </w:r>
          </w:p>
        </w:tc>
      </w:tr>
    </w:tbl>
    <w:p w14:paraId="02E6DA99" w14:textId="77777777" w:rsidR="00786E74" w:rsidRDefault="00786E74" w:rsidP="00786E74">
      <w:pPr>
        <w:spacing w:before="120" w:after="240"/>
        <w:rPr>
          <w:rFonts w:ascii="Arial" w:hAnsi="Arial" w:cs="Arial"/>
        </w:rPr>
      </w:pPr>
    </w:p>
    <w:bookmarkEnd w:id="0"/>
    <w:p w14:paraId="2C69CA0E" w14:textId="570DE0B3" w:rsidR="00246328" w:rsidRDefault="00246328" w:rsidP="00246328"/>
    <w:p w14:paraId="449DA87B" w14:textId="77777777" w:rsidR="00246328" w:rsidRPr="00246328" w:rsidRDefault="00246328" w:rsidP="00246328"/>
    <w:sectPr w:rsidR="00246328" w:rsidRPr="00246328" w:rsidSect="00913A5C">
      <w:type w:val="continuous"/>
      <w:pgSz w:w="11906" w:h="16838" w:code="9"/>
      <w:pgMar w:top="567" w:right="992" w:bottom="709" w:left="992" w:header="142"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E7683" w14:textId="77777777" w:rsidR="00B027C6" w:rsidRDefault="00B027C6" w:rsidP="00732881">
      <w:r>
        <w:separator/>
      </w:r>
    </w:p>
  </w:endnote>
  <w:endnote w:type="continuationSeparator" w:id="0">
    <w:p w14:paraId="1CCB2FA0" w14:textId="77777777" w:rsidR="00B027C6" w:rsidRDefault="00B027C6" w:rsidP="00732881">
      <w:r>
        <w:continuationSeparator/>
      </w:r>
    </w:p>
  </w:endnote>
  <w:endnote w:type="continuationNotice" w:id="1">
    <w:p w14:paraId="1881F88F" w14:textId="77777777" w:rsidR="00B027C6" w:rsidRDefault="00B027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ter">
    <w:altName w:val="Calibri"/>
    <w:panose1 w:val="020B0502030000000004"/>
    <w:charset w:val="00"/>
    <w:family w:val="swiss"/>
    <w:pitch w:val="variable"/>
    <w:sig w:usb0="E00002FF" w:usb1="1200A1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Poppins">
    <w:altName w:val="Poppins"/>
    <w:panose1 w:val="00000500000000000000"/>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ontserrat Medium">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Inter SemiBold">
    <w:altName w:val="Calibri"/>
    <w:panose1 w:val="020B0502030000000004"/>
    <w:charset w:val="00"/>
    <w:family w:val="swiss"/>
    <w:pitch w:val="variable"/>
    <w:sig w:usb0="E00002FF" w:usb1="1200A1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7D1B1" w14:textId="77777777" w:rsidR="006E37E6" w:rsidRPr="00361697" w:rsidRDefault="006E37E6" w:rsidP="006E37E6">
    <w:pPr>
      <w:pStyle w:val="Footer"/>
      <w:tabs>
        <w:tab w:val="right" w:pos="9923"/>
      </w:tabs>
      <w:rPr>
        <w:rFonts w:ascii="Verdana" w:hAnsi="Verdana"/>
        <w:sz w:val="16"/>
        <w:szCs w:val="16"/>
      </w:rPr>
    </w:pPr>
    <w:r w:rsidRPr="00361697">
      <w:rPr>
        <w:rStyle w:val="PageNumber"/>
        <w:rFonts w:ascii="Verdana" w:hAnsi="Verdana"/>
        <w:caps w:val="0"/>
        <w:sz w:val="16"/>
        <w:szCs w:val="16"/>
      </w:rPr>
      <w:t>Self-managed super fund independent auditor’s report</w:t>
    </w:r>
    <w:r>
      <w:rPr>
        <w:rStyle w:val="PageNumber"/>
        <w:rFonts w:ascii="Verdana" w:hAnsi="Verdana"/>
        <w:sz w:val="16"/>
        <w:szCs w:val="16"/>
      </w:rPr>
      <w:tab/>
    </w:r>
    <w:r w:rsidRPr="00361697">
      <w:rPr>
        <w:rStyle w:val="PageNumber"/>
        <w:rFonts w:ascii="Verdana" w:hAnsi="Verdana"/>
        <w:sz w:val="16"/>
        <w:szCs w:val="16"/>
      </w:rPr>
      <w:fldChar w:fldCharType="begin"/>
    </w:r>
    <w:r w:rsidRPr="00361697">
      <w:rPr>
        <w:rStyle w:val="PageNumber"/>
        <w:rFonts w:ascii="Verdana" w:hAnsi="Verdana"/>
        <w:sz w:val="16"/>
        <w:szCs w:val="16"/>
      </w:rPr>
      <w:instrText xml:space="preserve"> PAGE </w:instrText>
    </w:r>
    <w:r w:rsidRPr="00361697">
      <w:rPr>
        <w:rStyle w:val="PageNumber"/>
        <w:rFonts w:ascii="Verdana" w:hAnsi="Verdana"/>
        <w:sz w:val="16"/>
        <w:szCs w:val="16"/>
      </w:rPr>
      <w:fldChar w:fldCharType="separate"/>
    </w:r>
    <w:r>
      <w:rPr>
        <w:rStyle w:val="PageNumber"/>
        <w:rFonts w:ascii="Verdana" w:hAnsi="Verdana"/>
        <w:sz w:val="16"/>
        <w:szCs w:val="16"/>
      </w:rPr>
      <w:t>2</w:t>
    </w:r>
    <w:r w:rsidRPr="00361697">
      <w:rPr>
        <w:rStyle w:val="PageNumber"/>
        <w:rFonts w:ascii="Verdana" w:hAnsi="Verdan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2C349" w14:textId="11297E50" w:rsidR="00B0303E" w:rsidRDefault="002A6A12" w:rsidP="002A6A12">
    <w:pPr>
      <w:pStyle w:val="Footer"/>
      <w:tabs>
        <w:tab w:val="right" w:pos="9923"/>
      </w:tabs>
    </w:pPr>
    <w:r>
      <w:rPr>
        <w:rStyle w:val="PageNumber"/>
        <w:rFonts w:ascii="Verdana" w:hAnsi="Verdana"/>
        <w:caps w:val="0"/>
        <w:sz w:val="16"/>
        <w:szCs w:val="16"/>
      </w:rPr>
      <w:t>NAT 11466-0</w:t>
    </w:r>
    <w:r w:rsidR="00B80AD2">
      <w:rPr>
        <w:rStyle w:val="PageNumber"/>
        <w:rFonts w:ascii="Verdana" w:hAnsi="Verdana"/>
        <w:caps w:val="0"/>
        <w:sz w:val="16"/>
        <w:szCs w:val="16"/>
      </w:rPr>
      <w:t>6</w:t>
    </w:r>
    <w:r>
      <w:rPr>
        <w:rStyle w:val="PageNumber"/>
        <w:rFonts w:ascii="Verdana" w:hAnsi="Verdana"/>
        <w:caps w:val="0"/>
        <w:sz w:val="16"/>
        <w:szCs w:val="16"/>
      </w:rPr>
      <w:t>.2024</w:t>
    </w:r>
    <w:r>
      <w:rPr>
        <w:rStyle w:val="PageNumber"/>
        <w:rFonts w:ascii="Verdana" w:hAnsi="Verdana"/>
        <w:sz w:val="16"/>
        <w:szCs w:val="16"/>
      </w:rPr>
      <w:tab/>
    </w:r>
    <w:r w:rsidR="006E37E6" w:rsidRPr="00361697">
      <w:rPr>
        <w:rStyle w:val="PageNumber"/>
        <w:rFonts w:ascii="Verdana" w:hAnsi="Verdana"/>
        <w:sz w:val="16"/>
        <w:szCs w:val="16"/>
      </w:rPr>
      <w:fldChar w:fldCharType="begin"/>
    </w:r>
    <w:r w:rsidR="006E37E6" w:rsidRPr="00361697">
      <w:rPr>
        <w:rStyle w:val="PageNumber"/>
        <w:rFonts w:ascii="Verdana" w:hAnsi="Verdana"/>
        <w:sz w:val="16"/>
        <w:szCs w:val="16"/>
      </w:rPr>
      <w:instrText xml:space="preserve"> PAGE </w:instrText>
    </w:r>
    <w:r w:rsidR="006E37E6" w:rsidRPr="00361697">
      <w:rPr>
        <w:rStyle w:val="PageNumber"/>
        <w:rFonts w:ascii="Verdana" w:hAnsi="Verdana"/>
        <w:sz w:val="16"/>
        <w:szCs w:val="16"/>
      </w:rPr>
      <w:fldChar w:fldCharType="separate"/>
    </w:r>
    <w:r w:rsidR="006E37E6">
      <w:rPr>
        <w:rStyle w:val="PageNumber"/>
        <w:rFonts w:ascii="Verdana" w:hAnsi="Verdana"/>
        <w:sz w:val="16"/>
        <w:szCs w:val="16"/>
      </w:rPr>
      <w:t>2</w:t>
    </w:r>
    <w:r w:rsidR="006E37E6" w:rsidRPr="00361697">
      <w:rPr>
        <w:rStyle w:val="PageNumber"/>
        <w:rFonts w:ascii="Verdana" w:hAnsi="Verdan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68D82" w14:textId="247A50CC" w:rsidR="00786E74" w:rsidRPr="00361697" w:rsidRDefault="006E37E6" w:rsidP="00A91049">
    <w:pPr>
      <w:pStyle w:val="Footer"/>
      <w:tabs>
        <w:tab w:val="right" w:pos="9923"/>
      </w:tabs>
      <w:rPr>
        <w:rFonts w:ascii="Verdana" w:hAnsi="Verdana"/>
        <w:sz w:val="16"/>
        <w:szCs w:val="16"/>
      </w:rPr>
    </w:pPr>
    <w:r w:rsidRPr="00361697">
      <w:rPr>
        <w:rStyle w:val="PageNumber"/>
        <w:rFonts w:ascii="Verdana" w:hAnsi="Verdana"/>
        <w:caps w:val="0"/>
        <w:sz w:val="16"/>
        <w:szCs w:val="16"/>
      </w:rPr>
      <w:t>Self-managed super fund independent auditor’s report</w:t>
    </w:r>
    <w:r>
      <w:rPr>
        <w:rStyle w:val="PageNumber"/>
        <w:rFonts w:ascii="Verdana" w:hAnsi="Verdana"/>
        <w:sz w:val="16"/>
        <w:szCs w:val="16"/>
      </w:rPr>
      <w:tab/>
    </w:r>
    <w:r w:rsidRPr="00361697">
      <w:rPr>
        <w:rStyle w:val="PageNumber"/>
        <w:rFonts w:ascii="Verdana" w:hAnsi="Verdana"/>
        <w:sz w:val="16"/>
        <w:szCs w:val="16"/>
      </w:rPr>
      <w:fldChar w:fldCharType="begin"/>
    </w:r>
    <w:r w:rsidRPr="00361697">
      <w:rPr>
        <w:rStyle w:val="PageNumber"/>
        <w:rFonts w:ascii="Verdana" w:hAnsi="Verdana"/>
        <w:sz w:val="16"/>
        <w:szCs w:val="16"/>
      </w:rPr>
      <w:instrText xml:space="preserve"> PAGE </w:instrText>
    </w:r>
    <w:r w:rsidRPr="00361697">
      <w:rPr>
        <w:rStyle w:val="PageNumber"/>
        <w:rFonts w:ascii="Verdana" w:hAnsi="Verdana"/>
        <w:sz w:val="16"/>
        <w:szCs w:val="16"/>
      </w:rPr>
      <w:fldChar w:fldCharType="separate"/>
    </w:r>
    <w:r>
      <w:rPr>
        <w:rStyle w:val="PageNumber"/>
        <w:rFonts w:ascii="Verdana" w:hAnsi="Verdana"/>
        <w:sz w:val="16"/>
        <w:szCs w:val="16"/>
      </w:rPr>
      <w:t>2</w:t>
    </w:r>
    <w:r w:rsidRPr="00361697">
      <w:rPr>
        <w:rStyle w:val="PageNumbe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B5391" w14:textId="77777777" w:rsidR="00B027C6" w:rsidRPr="00671C25" w:rsidRDefault="00B027C6" w:rsidP="00671C25">
      <w:pPr>
        <w:pStyle w:val="Footer"/>
      </w:pPr>
      <w:r>
        <w:separator/>
      </w:r>
    </w:p>
  </w:footnote>
  <w:footnote w:type="continuationSeparator" w:id="0">
    <w:p w14:paraId="5FF653B0" w14:textId="77777777" w:rsidR="00B027C6" w:rsidRDefault="00B027C6" w:rsidP="00732881">
      <w:r>
        <w:continuationSeparator/>
      </w:r>
    </w:p>
  </w:footnote>
  <w:footnote w:type="continuationNotice" w:id="1">
    <w:p w14:paraId="6FECB1A8" w14:textId="77777777" w:rsidR="00B027C6" w:rsidRDefault="00B027C6">
      <w:pPr>
        <w:spacing w:after="0" w:line="240" w:lineRule="auto"/>
      </w:pPr>
    </w:p>
  </w:footnote>
  <w:footnote w:id="2">
    <w:p w14:paraId="1EE1EC6B" w14:textId="77777777" w:rsidR="00786E74" w:rsidRPr="002606EB" w:rsidRDefault="00786E74" w:rsidP="00913A5C">
      <w:pPr>
        <w:pStyle w:val="FootnoteText"/>
      </w:pPr>
      <w:r w:rsidRPr="009903B8">
        <w:rPr>
          <w:rStyle w:val="FootnoteReference"/>
          <w:rFonts w:ascii="Verdana" w:hAnsi="Verdana"/>
          <w:szCs w:val="16"/>
        </w:rPr>
        <w:footnoteRef/>
      </w:r>
      <w:r w:rsidRPr="009903B8">
        <w:t xml:space="preserve"> </w:t>
      </w:r>
      <w:r w:rsidRPr="002606EB">
        <w:t xml:space="preserve">Delete </w:t>
      </w:r>
      <w:r>
        <w:t>the options that are not applicable.</w:t>
      </w:r>
    </w:p>
  </w:footnote>
  <w:footnote w:id="3">
    <w:p w14:paraId="5C377DAA" w14:textId="77777777" w:rsidR="00786E74" w:rsidRPr="00A97202" w:rsidRDefault="00786E74" w:rsidP="00913A5C">
      <w:pPr>
        <w:pStyle w:val="FootnoteText"/>
      </w:pPr>
      <w:r w:rsidRPr="00A97202">
        <w:rPr>
          <w:rStyle w:val="FootnoteReference"/>
          <w:rFonts w:ascii="Verdana" w:hAnsi="Verdana"/>
          <w:szCs w:val="16"/>
        </w:rPr>
        <w:footnoteRef/>
      </w:r>
      <w:r w:rsidRPr="00A97202">
        <w:t xml:space="preserve"> For a </w:t>
      </w:r>
      <w:r w:rsidRPr="00F14FC5">
        <w:rPr>
          <w:b/>
          <w:bCs/>
        </w:rPr>
        <w:t>Disclaimer of Opinion</w:t>
      </w:r>
      <w:r w:rsidRPr="00A97202">
        <w:t>, replace with</w:t>
      </w:r>
      <w:r>
        <w:t xml:space="preserve"> ’</w:t>
      </w:r>
      <w:r w:rsidRPr="00A97202">
        <w:t>I was engaged to audit</w:t>
      </w:r>
      <w:r>
        <w:t>.’</w:t>
      </w:r>
    </w:p>
  </w:footnote>
  <w:footnote w:id="4">
    <w:p w14:paraId="57DCD6D2" w14:textId="77777777" w:rsidR="00786E74" w:rsidRPr="00A97202" w:rsidRDefault="00786E74" w:rsidP="00913A5C">
      <w:pPr>
        <w:pStyle w:val="FootnoteText"/>
      </w:pPr>
      <w:r w:rsidRPr="00A97202">
        <w:rPr>
          <w:rStyle w:val="FootnoteReference"/>
          <w:rFonts w:ascii="Verdana" w:hAnsi="Verdana"/>
          <w:szCs w:val="16"/>
        </w:rPr>
        <w:footnoteRef/>
      </w:r>
      <w:r w:rsidRPr="00A97202">
        <w:t xml:space="preserve"> For</w:t>
      </w:r>
      <w:r>
        <w:t xml:space="preserve"> a </w:t>
      </w:r>
      <w:r w:rsidRPr="00F14FC5">
        <w:rPr>
          <w:b/>
          <w:bCs/>
        </w:rPr>
        <w:t>Disclaimer of Opinion</w:t>
      </w:r>
      <w:r w:rsidRPr="00A97202">
        <w:t xml:space="preserve">, replace this paragraph with: </w:t>
      </w:r>
      <w:r>
        <w:t>’</w:t>
      </w:r>
      <w:r w:rsidRPr="00A97202">
        <w:t xml:space="preserve">I do not express an opinion on the financial </w:t>
      </w:r>
      <w:r>
        <w:t>report</w:t>
      </w:r>
      <w:r w:rsidRPr="00A97202">
        <w:t xml:space="preserve"> of [insert name of superannuation fund]. Because of the significance of the matter described in the </w:t>
      </w:r>
      <w:r w:rsidRPr="00F14FC5">
        <w:rPr>
          <w:b/>
          <w:bCs/>
        </w:rPr>
        <w:t xml:space="preserve">Basis for Disclaimer of Opinion </w:t>
      </w:r>
      <w:r w:rsidRPr="00A97202">
        <w:t>section of my report, I have not been able to obtain sufficient appropriate audit evidence</w:t>
      </w:r>
      <w:r>
        <w:t xml:space="preserve"> </w:t>
      </w:r>
      <w:r w:rsidRPr="00A97202">
        <w:t xml:space="preserve">to provide a basis for an audit opinion on the financial </w:t>
      </w:r>
      <w:r>
        <w:t>report</w:t>
      </w:r>
      <w:r w:rsidRPr="00A97202">
        <w:t>.</w:t>
      </w:r>
      <w:r>
        <w:t>’</w:t>
      </w:r>
    </w:p>
  </w:footnote>
  <w:footnote w:id="5">
    <w:p w14:paraId="4E2A1DFD" w14:textId="77777777" w:rsidR="00786E74" w:rsidRPr="00A97202" w:rsidRDefault="00786E74" w:rsidP="00913A5C">
      <w:pPr>
        <w:pStyle w:val="FootnoteText"/>
      </w:pPr>
      <w:r w:rsidRPr="00A97202">
        <w:rPr>
          <w:rStyle w:val="FootnoteReference"/>
          <w:rFonts w:ascii="Verdana" w:hAnsi="Verdana"/>
          <w:szCs w:val="16"/>
        </w:rPr>
        <w:footnoteRef/>
      </w:r>
      <w:r w:rsidRPr="00A97202">
        <w:t xml:space="preserve"> For</w:t>
      </w:r>
      <w:r>
        <w:t xml:space="preserve"> a</w:t>
      </w:r>
      <w:r w:rsidRPr="00A97202">
        <w:t xml:space="preserve"> </w:t>
      </w:r>
      <w:r w:rsidRPr="00F14FC5">
        <w:rPr>
          <w:b/>
          <w:bCs/>
        </w:rPr>
        <w:t>Disclaimer of Opinion</w:t>
      </w:r>
      <w:r w:rsidRPr="00A97202">
        <w:t xml:space="preserve">, </w:t>
      </w:r>
      <w:r w:rsidRPr="00913A5C">
        <w:t>replace</w:t>
      </w:r>
      <w:r w:rsidRPr="00A97202">
        <w:t xml:space="preserve"> this section with a paragraph that provides the reasons for the inability to obtain sufficient appropriate audit evidence</w:t>
      </w:r>
      <w:r>
        <w:t>.</w:t>
      </w:r>
    </w:p>
  </w:footnote>
  <w:footnote w:id="6">
    <w:p w14:paraId="40CD5BBC" w14:textId="77777777" w:rsidR="00786E74" w:rsidRPr="00845503" w:rsidRDefault="00786E74" w:rsidP="00913A5C">
      <w:pPr>
        <w:pStyle w:val="FootnoteText"/>
        <w:rPr>
          <w:rFonts w:cs="Microsoft Sans Serif"/>
          <w:b/>
        </w:rPr>
      </w:pPr>
      <w:r w:rsidRPr="00845503">
        <w:rPr>
          <w:rStyle w:val="FootnoteReference"/>
          <w:rFonts w:ascii="Verdana" w:hAnsi="Verdana"/>
          <w:szCs w:val="16"/>
        </w:rPr>
        <w:footnoteRef/>
      </w:r>
      <w:r w:rsidRPr="00845503">
        <w:t>The Australian Auditing Standards issued by the Auditing and Assurance Standards Board.</w:t>
      </w:r>
    </w:p>
    <w:p w14:paraId="2145198F" w14:textId="77777777" w:rsidR="00786E74" w:rsidRDefault="00786E74" w:rsidP="00913A5C">
      <w:pPr>
        <w:pStyle w:val="EndnoteText"/>
      </w:pPr>
    </w:p>
  </w:footnote>
  <w:footnote w:id="7">
    <w:p w14:paraId="72F249C1" w14:textId="77777777" w:rsidR="00786E74" w:rsidRPr="002606EB" w:rsidRDefault="00786E74" w:rsidP="00ED33BC">
      <w:pPr>
        <w:pStyle w:val="FootnoteText"/>
      </w:pPr>
      <w:r w:rsidRPr="002606EB">
        <w:rPr>
          <w:rStyle w:val="FootnoteReference"/>
          <w:rFonts w:ascii="Verdana" w:hAnsi="Verdana"/>
          <w:szCs w:val="16"/>
        </w:rPr>
        <w:footnoteRef/>
      </w:r>
      <w:r w:rsidRPr="002606EB">
        <w:t xml:space="preserve"> For a </w:t>
      </w:r>
      <w:r w:rsidRPr="00F14FC5">
        <w:rPr>
          <w:b/>
          <w:bCs/>
        </w:rPr>
        <w:t>Disclaimer of Opinion</w:t>
      </w:r>
      <w:r w:rsidRPr="002606EB">
        <w:t xml:space="preserve">, replace this section with: </w:t>
      </w:r>
      <w:r>
        <w:t>’</w:t>
      </w:r>
      <w:r w:rsidRPr="002606EB">
        <w:t xml:space="preserve">My responsibility is to conduct an audit of the financial </w:t>
      </w:r>
      <w:r>
        <w:t>report</w:t>
      </w:r>
      <w:r w:rsidRPr="002606EB">
        <w:t xml:space="preserve"> in accordance with Australian Auditing Standards and to issue an auditor’s report. However, because of the matter described in the </w:t>
      </w:r>
      <w:r w:rsidRPr="00F14FC5">
        <w:rPr>
          <w:b/>
          <w:bCs/>
        </w:rPr>
        <w:t xml:space="preserve">Basis for Disclaimer of Opinion </w:t>
      </w:r>
      <w:r w:rsidRPr="002606EB">
        <w:t xml:space="preserve">section of my report, I was not able to obtain sufficient appropriate audit evidence to provide a basis for an audit opinion on the financial </w:t>
      </w:r>
      <w:r>
        <w:t>report</w:t>
      </w:r>
      <w:r w:rsidRPr="002606EB">
        <w:t>. I am independent of the SMSF in accordance with the ethical requirements of the Accounting Professional and Ethical Standards Board’s APES</w:t>
      </w:r>
      <w:r>
        <w:t> </w:t>
      </w:r>
      <w:r w:rsidRPr="002606EB">
        <w:t xml:space="preserve">110 </w:t>
      </w:r>
      <w:r w:rsidRPr="002606EB">
        <w:rPr>
          <w:i/>
        </w:rPr>
        <w:t>Code of Ethics for Professional Accountants (including Independence Standards)</w:t>
      </w:r>
      <w:r w:rsidRPr="002606EB">
        <w:t xml:space="preserve"> (the Code) that are relevant to my audit of the financial </w:t>
      </w:r>
      <w:r>
        <w:t>report</w:t>
      </w:r>
      <w:r w:rsidRPr="002606EB">
        <w:t xml:space="preserve"> in Australia. I have also fulfilled my other ethical responsibilities in accordance with the Code.</w:t>
      </w:r>
      <w:r>
        <w:t>’</w:t>
      </w:r>
    </w:p>
    <w:p w14:paraId="540463E7" w14:textId="77777777" w:rsidR="00786E74" w:rsidRDefault="00786E74" w:rsidP="00786E74">
      <w:pPr>
        <w:pStyle w:val="FootnoteText"/>
      </w:pPr>
    </w:p>
  </w:footnote>
  <w:footnote w:id="8">
    <w:p w14:paraId="4779793F" w14:textId="77777777" w:rsidR="00786E74" w:rsidRPr="002606EB" w:rsidRDefault="00786E74" w:rsidP="009B4D8F">
      <w:pPr>
        <w:pStyle w:val="FootnoteText"/>
      </w:pPr>
      <w:r>
        <w:rPr>
          <w:rStyle w:val="FootnoteReference"/>
        </w:rPr>
        <w:footnoteRef/>
      </w:r>
      <w:r>
        <w:t xml:space="preserve"> </w:t>
      </w:r>
      <w:r w:rsidRPr="002606EB">
        <w:t xml:space="preserve">Delete the options that are not </w:t>
      </w:r>
      <w:r w:rsidRPr="009B4D8F">
        <w:t>applicable</w:t>
      </w:r>
      <w:r>
        <w:t>.</w:t>
      </w:r>
    </w:p>
  </w:footnote>
  <w:footnote w:id="9">
    <w:p w14:paraId="1A2D480C" w14:textId="77777777" w:rsidR="00786E74" w:rsidRPr="002606EB" w:rsidRDefault="00786E74" w:rsidP="009B4D8F">
      <w:pPr>
        <w:pStyle w:val="FootnoteText"/>
        <w:rPr>
          <w:lang w:val="en-NZ"/>
        </w:rPr>
      </w:pPr>
      <w:r w:rsidRPr="002606EB">
        <w:rPr>
          <w:rStyle w:val="FootnoteReference"/>
          <w:rFonts w:ascii="Verdana" w:hAnsi="Verdana"/>
          <w:szCs w:val="16"/>
        </w:rPr>
        <w:footnoteRef/>
      </w:r>
      <w:r w:rsidRPr="002606EB">
        <w:t xml:space="preserve"> </w:t>
      </w:r>
      <w:r w:rsidRPr="005651E4">
        <w:t>For</w:t>
      </w:r>
      <w:r>
        <w:t xml:space="preserve"> a</w:t>
      </w:r>
      <w:r w:rsidRPr="005651E4">
        <w:t xml:space="preserve"> </w:t>
      </w:r>
      <w:r w:rsidRPr="00F14FC5">
        <w:rPr>
          <w:b/>
          <w:bCs/>
        </w:rPr>
        <w:t xml:space="preserve">Disclaimer of </w:t>
      </w:r>
      <w:r w:rsidRPr="004F1D4F">
        <w:rPr>
          <w:b/>
          <w:bCs/>
        </w:rPr>
        <w:t>Opinion</w:t>
      </w:r>
      <w:r w:rsidRPr="005651E4">
        <w:t xml:space="preserve">, replace with </w:t>
      </w:r>
      <w:r>
        <w:t>’</w:t>
      </w:r>
      <w:r w:rsidRPr="005651E4">
        <w:t xml:space="preserve">I </w:t>
      </w:r>
      <w:r w:rsidRPr="009B4D8F">
        <w:t>was</w:t>
      </w:r>
      <w:r w:rsidRPr="005651E4">
        <w:t xml:space="preserve"> engaged to undertake</w:t>
      </w:r>
      <w:r>
        <w:t>.’</w:t>
      </w:r>
    </w:p>
  </w:footnote>
  <w:footnote w:id="10">
    <w:p w14:paraId="5631A5E3" w14:textId="77777777" w:rsidR="00786E74" w:rsidRPr="002606EB" w:rsidRDefault="00786E74" w:rsidP="009B4D8F">
      <w:pPr>
        <w:pStyle w:val="FootnoteText"/>
        <w:rPr>
          <w:lang w:val="en-NZ"/>
        </w:rPr>
      </w:pPr>
      <w:r w:rsidRPr="002606EB">
        <w:rPr>
          <w:rStyle w:val="FootnoteReference"/>
          <w:rFonts w:ascii="Verdana" w:hAnsi="Verdana"/>
          <w:szCs w:val="16"/>
        </w:rPr>
        <w:footnoteRef/>
      </w:r>
      <w:r w:rsidRPr="002606EB">
        <w:t xml:space="preserve"> For</w:t>
      </w:r>
      <w:r>
        <w:t xml:space="preserve"> a</w:t>
      </w:r>
      <w:r w:rsidRPr="002606EB">
        <w:t xml:space="preserve"> </w:t>
      </w:r>
      <w:r w:rsidRPr="00F14FC5">
        <w:rPr>
          <w:b/>
          <w:bCs/>
        </w:rPr>
        <w:t>Disclaimer of</w:t>
      </w:r>
      <w:r w:rsidRPr="004F1D4F">
        <w:rPr>
          <w:b/>
          <w:bCs/>
        </w:rPr>
        <w:t xml:space="preserve"> Opinion</w:t>
      </w:r>
      <w:r w:rsidRPr="002606EB">
        <w:t xml:space="preserve">, replace with: </w:t>
      </w:r>
      <w:r w:rsidRPr="009B4D8F">
        <w:t>’Because</w:t>
      </w:r>
      <w:r w:rsidRPr="002606EB">
        <w:t xml:space="preserve"> of the significance of the matter described in the </w:t>
      </w:r>
      <w:r w:rsidRPr="00F14FC5">
        <w:rPr>
          <w:b/>
          <w:bCs/>
        </w:rPr>
        <w:t>Basis for</w:t>
      </w:r>
      <w:r w:rsidRPr="004F1D4F">
        <w:rPr>
          <w:b/>
          <w:bCs/>
        </w:rPr>
        <w:t xml:space="preserve"> Disclaimer</w:t>
      </w:r>
      <w:r w:rsidRPr="00BB5798">
        <w:t xml:space="preserve"> </w:t>
      </w:r>
      <w:r w:rsidRPr="004F1D4F">
        <w:rPr>
          <w:b/>
          <w:bCs/>
        </w:rPr>
        <w:t>of Opinion</w:t>
      </w:r>
      <w:r w:rsidRPr="00BB5798">
        <w:t xml:space="preserve"> </w:t>
      </w:r>
      <w:r w:rsidRPr="002606EB">
        <w:t>section of my report, I do not express an opinion on the trustee</w:t>
      </w:r>
      <w:r>
        <w:t>s’</w:t>
      </w:r>
      <w:r w:rsidRPr="002606EB">
        <w:t xml:space="preserve"> compliance with the </w:t>
      </w:r>
      <w:r>
        <w:t>listed</w:t>
      </w:r>
      <w:r w:rsidRPr="002606EB">
        <w:t xml:space="preserve"> provisions for the </w:t>
      </w:r>
      <w:r>
        <w:rPr>
          <w:rFonts w:cs="Microsoft Sans Serif"/>
        </w:rPr>
        <w:t xml:space="preserve">year ended </w:t>
      </w:r>
      <w:r w:rsidRPr="009E1CF0">
        <w:rPr>
          <w:rFonts w:cs="Microsoft Sans Serif"/>
        </w:rPr>
        <w:t>30</w:t>
      </w:r>
      <w:r>
        <w:rPr>
          <w:rFonts w:cs="Microsoft Sans Serif"/>
        </w:rPr>
        <w:t> </w:t>
      </w:r>
      <w:r w:rsidRPr="009E1CF0">
        <w:rPr>
          <w:rFonts w:cs="Microsoft Sans Serif"/>
        </w:rPr>
        <w:t>June ____ [year].</w:t>
      </w:r>
      <w:r>
        <w:rPr>
          <w:rFonts w:cs="Microsoft Sans Serif"/>
        </w:rPr>
        <w:t>’</w:t>
      </w:r>
    </w:p>
  </w:footnote>
  <w:footnote w:id="11">
    <w:p w14:paraId="49B5D1C7" w14:textId="77777777" w:rsidR="00786E74" w:rsidRDefault="00786E74" w:rsidP="009B4D8F">
      <w:pPr>
        <w:pStyle w:val="FootnoteText"/>
      </w:pPr>
      <w:r w:rsidRPr="002606EB">
        <w:rPr>
          <w:rStyle w:val="FootnoteReference"/>
          <w:rFonts w:ascii="Verdana" w:hAnsi="Verdana"/>
          <w:szCs w:val="16"/>
        </w:rPr>
        <w:footnoteRef/>
      </w:r>
      <w:r w:rsidRPr="002606EB">
        <w:t xml:space="preserve"> For </w:t>
      </w:r>
      <w:r>
        <w:t xml:space="preserve">a </w:t>
      </w:r>
      <w:r w:rsidRPr="00F14FC5">
        <w:rPr>
          <w:b/>
          <w:bCs/>
        </w:rPr>
        <w:t xml:space="preserve">Disclaimer of </w:t>
      </w:r>
      <w:r w:rsidRPr="004F1D4F">
        <w:rPr>
          <w:b/>
          <w:bCs/>
        </w:rPr>
        <w:t>Opinion</w:t>
      </w:r>
      <w:r w:rsidRPr="002606EB">
        <w:t xml:space="preserve">, </w:t>
      </w:r>
      <w:r w:rsidRPr="009B4D8F">
        <w:t>replace</w:t>
      </w:r>
      <w:r w:rsidRPr="002606EB">
        <w:t xml:space="preserve"> this section with a paragraph that provides the reasons for the inability to obtain sufficient appropriate audit evidence.</w:t>
      </w:r>
    </w:p>
  </w:footnote>
  <w:footnote w:id="12">
    <w:p w14:paraId="5F3D90BD" w14:textId="77777777" w:rsidR="00786E74" w:rsidRPr="002606EB" w:rsidRDefault="00786E74" w:rsidP="009B4D8F">
      <w:pPr>
        <w:pStyle w:val="FootnoteText"/>
        <w:rPr>
          <w:lang w:val="en-NZ"/>
        </w:rPr>
      </w:pPr>
      <w:r w:rsidRPr="002606EB">
        <w:rPr>
          <w:rStyle w:val="FootnoteReference"/>
          <w:rFonts w:ascii="Verdana" w:hAnsi="Verdana"/>
          <w:szCs w:val="16"/>
        </w:rPr>
        <w:footnoteRef/>
      </w:r>
      <w:r w:rsidRPr="002606EB">
        <w:t xml:space="preserve"> For </w:t>
      </w:r>
      <w:r>
        <w:t xml:space="preserve">a </w:t>
      </w:r>
      <w:r w:rsidRPr="00F14FC5">
        <w:rPr>
          <w:b/>
          <w:bCs/>
        </w:rPr>
        <w:t>Disclaimer of Opinion</w:t>
      </w:r>
      <w:r w:rsidRPr="002606EB">
        <w:t xml:space="preserve">, replace this section with: </w:t>
      </w:r>
      <w:r>
        <w:t>’</w:t>
      </w:r>
      <w:r w:rsidRPr="002606EB">
        <w:t xml:space="preserve">My responsibility is to conduct a reasonable assurance engagement on the trustees’ compliance with the </w:t>
      </w:r>
      <w:r>
        <w:t>listed</w:t>
      </w:r>
      <w:r w:rsidRPr="002606EB">
        <w:t xml:space="preserve"> provisions in accordance with the Standards on Assurance Engagements and to issue an assurance report. However, because of </w:t>
      </w:r>
      <w:r w:rsidRPr="009B4D8F">
        <w:t>the</w:t>
      </w:r>
      <w:r w:rsidRPr="002606EB">
        <w:t xml:space="preserve"> matter described in the </w:t>
      </w:r>
      <w:r w:rsidRPr="00F14FC5">
        <w:rPr>
          <w:b/>
          <w:bCs/>
        </w:rPr>
        <w:t xml:space="preserve">Basis for Disclaimer of Opinion </w:t>
      </w:r>
      <w:r w:rsidRPr="002606EB">
        <w:t xml:space="preserve">section of my report, I was not able to obtain sufficient appropriate </w:t>
      </w:r>
      <w:r>
        <w:t xml:space="preserve">audit </w:t>
      </w:r>
      <w:r w:rsidRPr="002606EB">
        <w:t xml:space="preserve">evidence to provide a basis for an opinion. I am independent of the </w:t>
      </w:r>
      <w:r>
        <w:t>SMSF</w:t>
      </w:r>
      <w:r w:rsidRPr="002606EB">
        <w:t xml:space="preserve"> in accordance with the ethical requirements of the Accounting Professional and Ethical Standards Board’s APES</w:t>
      </w:r>
      <w:r>
        <w:t> </w:t>
      </w:r>
      <w:r w:rsidRPr="002606EB">
        <w:t xml:space="preserve">110 </w:t>
      </w:r>
      <w:r w:rsidRPr="002606EB">
        <w:rPr>
          <w:i/>
        </w:rPr>
        <w:t>Code of Ethics for Professional Accountants (including Independence Standards</w:t>
      </w:r>
      <w:r>
        <w:rPr>
          <w:i/>
        </w:rPr>
        <w:t>)</w:t>
      </w:r>
      <w:r w:rsidRPr="002606EB">
        <w:t xml:space="preserve"> (the Code) that are relevant to my assurance engagement in Australia. I have also fulfilled my other ethical responsibilities in accordance with the Code.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0F6D6" w14:textId="77777777" w:rsidR="00BC05DA" w:rsidRDefault="00BC05DA"/>
  <w:p w14:paraId="79B593DF" w14:textId="461B7892" w:rsidR="00C75707" w:rsidRPr="00DE1BCA" w:rsidRDefault="00C75707" w:rsidP="00DE1B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13407"/>
    <w:multiLevelType w:val="multilevel"/>
    <w:tmpl w:val="490E0C2C"/>
    <w:styleLink w:val="HaldonHeadings"/>
    <w:lvl w:ilvl="0">
      <w:start w:val="1"/>
      <w:numFmt w:val="decimal"/>
      <w:lvlText w:val="%1."/>
      <w:lvlJc w:val="left"/>
      <w:pPr>
        <w:ind w:left="397" w:hanging="397"/>
      </w:pPr>
      <w:rPr>
        <w:rFonts w:hint="default"/>
        <w:b/>
        <w:i w:val="0"/>
        <w:color w:val="3844CA" w:themeColor="accent1"/>
        <w:spacing w:val="0"/>
        <w:w w:val="100"/>
        <w:sz w:val="32"/>
      </w:rPr>
    </w:lvl>
    <w:lvl w:ilvl="1">
      <w:start w:val="1"/>
      <w:numFmt w:val="decimal"/>
      <w:lvlText w:val="%1.%2"/>
      <w:lvlJc w:val="left"/>
      <w:pPr>
        <w:ind w:left="680" w:hanging="680"/>
      </w:pPr>
      <w:rPr>
        <w:rFonts w:hint="default"/>
        <w:b/>
        <w:i w:val="0"/>
        <w:color w:val="169985" w:themeColor="accent5"/>
        <w:spacing w:val="0"/>
        <w:w w:val="100"/>
        <w:sz w:val="30"/>
      </w:rPr>
    </w:lvl>
    <w:lvl w:ilvl="2">
      <w:start w:val="1"/>
      <w:numFmt w:val="decimal"/>
      <w:lvlText w:val="%1.%2.%3"/>
      <w:lvlJc w:val="left"/>
      <w:pPr>
        <w:ind w:left="964" w:hanging="964"/>
      </w:pPr>
      <w:rPr>
        <w:rFonts w:hint="default"/>
        <w:b/>
        <w:i w:val="0"/>
        <w:color w:val="169985" w:themeColor="accent5"/>
        <w:spacing w:val="0"/>
        <w:w w:val="100"/>
        <w:sz w:val="26"/>
      </w:rPr>
    </w:lvl>
    <w:lvl w:ilvl="3">
      <w:start w:val="1"/>
      <w:numFmt w:val="decimal"/>
      <w:lvlText w:val="%1.%2.%3.%4"/>
      <w:lvlJc w:val="left"/>
      <w:pPr>
        <w:ind w:left="964" w:hanging="964"/>
      </w:pPr>
      <w:rPr>
        <w:rFonts w:hint="default"/>
        <w:b/>
        <w:i w:val="0"/>
        <w:color w:val="169985" w:themeColor="accent5"/>
        <w:spacing w:val="0"/>
        <w:w w:val="100"/>
        <w:sz w:val="24"/>
      </w:rPr>
    </w:lvl>
    <w:lvl w:ilvl="4">
      <w:start w:val="1"/>
      <w:numFmt w:val="decimal"/>
      <w:pStyle w:val="Heading5Numbered"/>
      <w:lvlText w:val="%1.%2.%3.%4.%5"/>
      <w:lvlJc w:val="left"/>
      <w:pPr>
        <w:ind w:left="1418" w:hanging="1418"/>
      </w:pPr>
      <w:rPr>
        <w:rFonts w:hint="default"/>
        <w:b w:val="0"/>
        <w:i w:val="0"/>
        <w:color w:val="3C3D41" w:themeColor="text2"/>
        <w:sz w:val="24"/>
      </w:rPr>
    </w:lvl>
    <w:lvl w:ilvl="5">
      <w:start w:val="1"/>
      <w:numFmt w:val="decimal"/>
      <w:pStyle w:val="Heading6Numbered"/>
      <w:lvlText w:val="%1.%2.%3.%4.%5.%6"/>
      <w:lvlJc w:val="left"/>
      <w:pPr>
        <w:ind w:left="1701" w:hanging="1701"/>
      </w:pPr>
      <w:rPr>
        <w:rFonts w:hint="default"/>
        <w:b w:val="0"/>
        <w:i/>
        <w:color w:val="3C3D41" w:themeColor="text2"/>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A9053D"/>
    <w:multiLevelType w:val="hybridMultilevel"/>
    <w:tmpl w:val="B84813F4"/>
    <w:lvl w:ilvl="0" w:tplc="D55CB0E6">
      <w:start w:val="1"/>
      <w:numFmt w:val="bullet"/>
      <w:pStyle w:val="TableBullet"/>
      <w:lvlText w:val="•"/>
      <w:lvlJc w:val="left"/>
      <w:pPr>
        <w:ind w:left="360" w:hanging="360"/>
      </w:pPr>
      <w:rPr>
        <w:rFonts w:ascii="Arial" w:hAnsi="Arial" w:hint="default"/>
        <w:b w:val="0"/>
        <w:bCs w:val="0"/>
        <w:i w:val="0"/>
        <w:iCs w:val="0"/>
        <w:caps w:val="0"/>
        <w:strike w:val="0"/>
        <w:dstrike w:val="0"/>
        <w:vanish w:val="0"/>
        <w:color w:val="3844CA" w:themeColor="background2"/>
        <w:spacing w:val="0"/>
        <w:kern w:val="0"/>
        <w:position w:val="0"/>
        <w:sz w:val="26"/>
        <w:u w:val="none" w:color="000000" w:themeColor="text1"/>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BE0FC7"/>
    <w:multiLevelType w:val="multilevel"/>
    <w:tmpl w:val="0FB0110E"/>
    <w:styleLink w:val="ATONumbers"/>
    <w:lvl w:ilvl="0">
      <w:start w:val="1"/>
      <w:numFmt w:val="decimal"/>
      <w:pStyle w:val="ListNumber"/>
      <w:lvlText w:val="%1."/>
      <w:lvlJc w:val="left"/>
      <w:pPr>
        <w:ind w:left="340" w:hanging="340"/>
      </w:pPr>
      <w:rPr>
        <w:rFonts w:asciiTheme="minorHAnsi" w:hAnsiTheme="minorHAnsi" w:hint="default"/>
        <w:color w:val="3844CA" w:themeColor="accent1"/>
      </w:rPr>
    </w:lvl>
    <w:lvl w:ilvl="1">
      <w:start w:val="1"/>
      <w:numFmt w:val="lowerLetter"/>
      <w:pStyle w:val="ListNumber2"/>
      <w:lvlText w:val="%2."/>
      <w:lvlJc w:val="left"/>
      <w:pPr>
        <w:ind w:left="680" w:hanging="340"/>
      </w:pPr>
      <w:rPr>
        <w:rFonts w:asciiTheme="minorHAnsi" w:hAnsiTheme="minorHAnsi" w:hint="default"/>
        <w:color w:val="3844CA" w:themeColor="accent1"/>
      </w:rPr>
    </w:lvl>
    <w:lvl w:ilvl="2">
      <w:start w:val="1"/>
      <w:numFmt w:val="lowerRoman"/>
      <w:pStyle w:val="ListNumber3"/>
      <w:lvlText w:val="%3."/>
      <w:lvlJc w:val="left"/>
      <w:pPr>
        <w:ind w:left="1020" w:hanging="340"/>
      </w:pPr>
      <w:rPr>
        <w:rFonts w:asciiTheme="minorHAnsi" w:hAnsiTheme="minorHAnsi" w:hint="default"/>
        <w:color w:val="3844CA" w:themeColor="accent1"/>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3" w15:restartNumberingAfterBreak="0">
    <w:nsid w:val="0F090B5C"/>
    <w:multiLevelType w:val="multilevel"/>
    <w:tmpl w:val="7F229C78"/>
    <w:styleLink w:val="ATOBullets"/>
    <w:lvl w:ilvl="0">
      <w:start w:val="1"/>
      <w:numFmt w:val="bullet"/>
      <w:pStyle w:val="ListBullet"/>
      <w:lvlText w:val="•"/>
      <w:lvlJc w:val="left"/>
      <w:pPr>
        <w:ind w:left="340" w:hanging="340"/>
      </w:pPr>
      <w:rPr>
        <w:rFonts w:ascii="Arial" w:hAnsi="Arial" w:hint="default"/>
        <w:color w:val="3844CA" w:themeColor="accent1"/>
        <w:sz w:val="26"/>
      </w:rPr>
    </w:lvl>
    <w:lvl w:ilvl="1">
      <w:start w:val="1"/>
      <w:numFmt w:val="bullet"/>
      <w:pStyle w:val="ListBullet2"/>
      <w:lvlText w:val="–"/>
      <w:lvlJc w:val="left"/>
      <w:pPr>
        <w:ind w:left="680" w:hanging="340"/>
      </w:pPr>
      <w:rPr>
        <w:rFonts w:ascii="Arial" w:hAnsi="Arial" w:hint="default"/>
        <w:color w:val="3844CA" w:themeColor="accent1"/>
        <w:sz w:val="20"/>
      </w:rPr>
    </w:lvl>
    <w:lvl w:ilvl="2">
      <w:start w:val="1"/>
      <w:numFmt w:val="bullet"/>
      <w:pStyle w:val="ListBullet3"/>
      <w:lvlText w:val="○"/>
      <w:lvlJc w:val="left"/>
      <w:pPr>
        <w:ind w:left="1020" w:hanging="340"/>
      </w:pPr>
      <w:rPr>
        <w:rFonts w:ascii="Arial" w:hAnsi="Arial" w:hint="default"/>
        <w:color w:val="3844CA" w:themeColor="accent1"/>
        <w:sz w:val="18"/>
      </w:rPr>
    </w:lvl>
    <w:lvl w:ilvl="3">
      <w:start w:val="1"/>
      <w:numFmt w:val="bullet"/>
      <w:lvlText w:val=""/>
      <w:lvlJc w:val="left"/>
      <w:pPr>
        <w:tabs>
          <w:tab w:val="num" w:pos="1431"/>
        </w:tabs>
        <w:ind w:left="1360" w:hanging="340"/>
      </w:pPr>
      <w:rPr>
        <w:rFonts w:ascii="Symbol" w:hAnsi="Symbol" w:hint="default"/>
      </w:rPr>
    </w:lvl>
    <w:lvl w:ilvl="4">
      <w:start w:val="1"/>
      <w:numFmt w:val="bullet"/>
      <w:lvlText w:val="o"/>
      <w:lvlJc w:val="left"/>
      <w:pPr>
        <w:tabs>
          <w:tab w:val="num" w:pos="1788"/>
        </w:tabs>
        <w:ind w:left="1700" w:hanging="340"/>
      </w:pPr>
      <w:rPr>
        <w:rFonts w:ascii="Courier New" w:hAnsi="Courier New" w:cs="Courier New" w:hint="default"/>
      </w:rPr>
    </w:lvl>
    <w:lvl w:ilvl="5">
      <w:start w:val="1"/>
      <w:numFmt w:val="bullet"/>
      <w:lvlText w:val=""/>
      <w:lvlJc w:val="left"/>
      <w:pPr>
        <w:tabs>
          <w:tab w:val="num" w:pos="2145"/>
        </w:tabs>
        <w:ind w:left="2040" w:hanging="340"/>
      </w:pPr>
      <w:rPr>
        <w:rFonts w:ascii="Wingdings" w:hAnsi="Wingdings" w:hint="default"/>
      </w:rPr>
    </w:lvl>
    <w:lvl w:ilvl="6">
      <w:start w:val="1"/>
      <w:numFmt w:val="bullet"/>
      <w:lvlText w:val=""/>
      <w:lvlJc w:val="left"/>
      <w:pPr>
        <w:tabs>
          <w:tab w:val="num" w:pos="2502"/>
        </w:tabs>
        <w:ind w:left="2380" w:hanging="340"/>
      </w:pPr>
      <w:rPr>
        <w:rFonts w:ascii="Symbol" w:hAnsi="Symbol" w:hint="default"/>
      </w:rPr>
    </w:lvl>
    <w:lvl w:ilvl="7">
      <w:start w:val="1"/>
      <w:numFmt w:val="bullet"/>
      <w:lvlText w:val="o"/>
      <w:lvlJc w:val="left"/>
      <w:pPr>
        <w:tabs>
          <w:tab w:val="num" w:pos="2859"/>
        </w:tabs>
        <w:ind w:left="2720" w:hanging="340"/>
      </w:pPr>
      <w:rPr>
        <w:rFonts w:ascii="Courier New" w:hAnsi="Courier New" w:cs="Courier New" w:hint="default"/>
      </w:rPr>
    </w:lvl>
    <w:lvl w:ilvl="8">
      <w:start w:val="1"/>
      <w:numFmt w:val="bullet"/>
      <w:lvlText w:val=""/>
      <w:lvlJc w:val="left"/>
      <w:pPr>
        <w:tabs>
          <w:tab w:val="num" w:pos="3216"/>
        </w:tabs>
        <w:ind w:left="3060" w:hanging="340"/>
      </w:pPr>
      <w:rPr>
        <w:rFonts w:ascii="Wingdings" w:hAnsi="Wingdings" w:hint="default"/>
      </w:rPr>
    </w:lvl>
  </w:abstractNum>
  <w:abstractNum w:abstractNumId="4" w15:restartNumberingAfterBreak="0">
    <w:nsid w:val="13E15674"/>
    <w:multiLevelType w:val="hybridMultilevel"/>
    <w:tmpl w:val="4DFADBB8"/>
    <w:lvl w:ilvl="0" w:tplc="9E162028">
      <w:start w:val="1"/>
      <w:numFmt w:val="bullet"/>
      <w:lvlText w:val="•"/>
      <w:lvlJc w:val="left"/>
      <w:pPr>
        <w:tabs>
          <w:tab w:val="num" w:pos="340"/>
        </w:tabs>
        <w:ind w:left="340" w:hanging="340"/>
      </w:pPr>
      <w:rPr>
        <w:rFonts w:ascii="Arial" w:hAnsi="Arial" w:hint="default"/>
        <w:color w:val="3844CA"/>
        <w:sz w:val="26"/>
        <w:szCs w:val="26"/>
      </w:rPr>
    </w:lvl>
    <w:lvl w:ilvl="1" w:tplc="9A44BBEE">
      <w:start w:val="1"/>
      <w:numFmt w:val="bullet"/>
      <w:lvlText w:val="–"/>
      <w:lvlJc w:val="left"/>
      <w:pPr>
        <w:tabs>
          <w:tab w:val="num" w:pos="680"/>
        </w:tabs>
        <w:ind w:left="680" w:hanging="340"/>
      </w:pPr>
      <w:rPr>
        <w:rFonts w:ascii="Arial" w:hAnsi="Arial" w:cs="Arial" w:hint="default"/>
        <w:color w:val="3844CA"/>
      </w:rPr>
    </w:lvl>
    <w:lvl w:ilvl="2" w:tplc="8F0099BC">
      <w:start w:val="1"/>
      <w:numFmt w:val="bullet"/>
      <w:pStyle w:val="ListParagraph"/>
      <w:lvlText w:val="○"/>
      <w:lvlJc w:val="left"/>
      <w:pPr>
        <w:tabs>
          <w:tab w:val="num" w:pos="1021"/>
        </w:tabs>
        <w:ind w:left="1021" w:hanging="341"/>
      </w:pPr>
      <w:rPr>
        <w:rFonts w:ascii="Arial" w:hAnsi="Arial" w:hint="default"/>
        <w:b w:val="0"/>
        <w:bCs w:val="0"/>
        <w:color w:val="3844CA" w:themeColor="accent1"/>
        <w:sz w:val="18"/>
        <w:szCs w:val="18"/>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691DA6"/>
    <w:multiLevelType w:val="hybridMultilevel"/>
    <w:tmpl w:val="8968C96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98112A"/>
    <w:multiLevelType w:val="multilevel"/>
    <w:tmpl w:val="7F229C78"/>
    <w:numStyleLink w:val="ATOBullets"/>
  </w:abstractNum>
  <w:abstractNum w:abstractNumId="7" w15:restartNumberingAfterBreak="0">
    <w:nsid w:val="2A6937F4"/>
    <w:multiLevelType w:val="multilevel"/>
    <w:tmpl w:val="7C40172C"/>
    <w:styleLink w:val="ATOHeadings"/>
    <w:lvl w:ilvl="0">
      <w:start w:val="1"/>
      <w:numFmt w:val="decimal"/>
      <w:pStyle w:val="Heading1Numbered"/>
      <w:lvlText w:val="%1"/>
      <w:lvlJc w:val="left"/>
      <w:pPr>
        <w:ind w:left="851" w:hanging="851"/>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851" w:hanging="851"/>
      </w:pPr>
      <w:rPr>
        <w:rFonts w:asciiTheme="minorHAnsi" w:hAnsiTheme="minorHAnsi"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8" w15:restartNumberingAfterBreak="0">
    <w:nsid w:val="43EB5058"/>
    <w:multiLevelType w:val="multilevel"/>
    <w:tmpl w:val="490E0C2C"/>
    <w:numStyleLink w:val="HaldonHeadings"/>
  </w:abstractNum>
  <w:abstractNum w:abstractNumId="9" w15:restartNumberingAfterBreak="0">
    <w:nsid w:val="44245E2C"/>
    <w:multiLevelType w:val="multilevel"/>
    <w:tmpl w:val="0FB0110E"/>
    <w:numStyleLink w:val="ATONumbers"/>
  </w:abstractNum>
  <w:abstractNum w:abstractNumId="10" w15:restartNumberingAfterBreak="0">
    <w:nsid w:val="44275448"/>
    <w:multiLevelType w:val="hybridMultilevel"/>
    <w:tmpl w:val="44223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E165694"/>
    <w:multiLevelType w:val="multilevel"/>
    <w:tmpl w:val="435A2E34"/>
    <w:styleLink w:val="ATOIntroBullets"/>
    <w:lvl w:ilvl="0">
      <w:start w:val="1"/>
      <w:numFmt w:val="bullet"/>
      <w:pStyle w:val="IntroBullet1"/>
      <w:lvlText w:val="•"/>
      <w:lvlJc w:val="left"/>
      <w:pPr>
        <w:ind w:left="340" w:hanging="340"/>
      </w:pPr>
      <w:rPr>
        <w:rFonts w:ascii="Arial" w:hAnsi="Arial" w:hint="default"/>
        <w:color w:val="3844CA" w:themeColor="accent1"/>
        <w:sz w:val="28"/>
      </w:rPr>
    </w:lvl>
    <w:lvl w:ilvl="1">
      <w:start w:val="1"/>
      <w:numFmt w:val="bullet"/>
      <w:pStyle w:val="IntroBullet2"/>
      <w:lvlText w:val="–"/>
      <w:lvlJc w:val="left"/>
      <w:pPr>
        <w:ind w:left="680" w:hanging="340"/>
      </w:pPr>
      <w:rPr>
        <w:rFonts w:ascii="Arial" w:hAnsi="Arial" w:hint="default"/>
        <w:color w:val="3844CA" w:themeColor="accent1"/>
        <w:sz w:val="24"/>
      </w:rPr>
    </w:lvl>
    <w:lvl w:ilvl="2">
      <w:start w:val="1"/>
      <w:numFmt w:val="bullet"/>
      <w:pStyle w:val="IntroBullet3"/>
      <w:lvlText w:val="○"/>
      <w:lvlJc w:val="left"/>
      <w:pPr>
        <w:ind w:left="1020" w:hanging="340"/>
      </w:pPr>
      <w:rPr>
        <w:rFonts w:ascii="Arial" w:hAnsi="Arial" w:hint="default"/>
        <w:color w:val="3844CA" w:themeColor="accent1"/>
        <w:sz w:val="20"/>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12" w15:restartNumberingAfterBreak="0">
    <w:nsid w:val="601A08BD"/>
    <w:multiLevelType w:val="multilevel"/>
    <w:tmpl w:val="435A2E34"/>
    <w:numStyleLink w:val="ATOIntroBullets"/>
  </w:abstractNum>
  <w:num w:numId="1" w16cid:durableId="855071550">
    <w:abstractNumId w:val="0"/>
  </w:num>
  <w:num w:numId="2" w16cid:durableId="1465343701">
    <w:abstractNumId w:val="8"/>
  </w:num>
  <w:num w:numId="3" w16cid:durableId="495459117">
    <w:abstractNumId w:val="3"/>
  </w:num>
  <w:num w:numId="4" w16cid:durableId="890387437">
    <w:abstractNumId w:val="7"/>
  </w:num>
  <w:num w:numId="5" w16cid:durableId="39520640">
    <w:abstractNumId w:val="11"/>
  </w:num>
  <w:num w:numId="6" w16cid:durableId="424692124">
    <w:abstractNumId w:val="2"/>
  </w:num>
  <w:num w:numId="7" w16cid:durableId="2104257371">
    <w:abstractNumId w:val="6"/>
  </w:num>
  <w:num w:numId="8" w16cid:durableId="8231990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4399415">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777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90299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21522745">
    <w:abstractNumId w:val="12"/>
  </w:num>
  <w:num w:numId="13" w16cid:durableId="1362902389">
    <w:abstractNumId w:val="6"/>
  </w:num>
  <w:num w:numId="14" w16cid:durableId="1647541138">
    <w:abstractNumId w:val="9"/>
  </w:num>
  <w:num w:numId="15" w16cid:durableId="1227186248">
    <w:abstractNumId w:val="1"/>
  </w:num>
  <w:num w:numId="16" w16cid:durableId="2123380014">
    <w:abstractNumId w:val="4"/>
  </w:num>
  <w:num w:numId="17" w16cid:durableId="498739185">
    <w:abstractNumId w:val="7"/>
  </w:num>
  <w:num w:numId="18" w16cid:durableId="1111899818">
    <w:abstractNumId w:val="5"/>
  </w:num>
  <w:num w:numId="19" w16cid:durableId="1090781907">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7404" w:allStyles="0" w:customStyles="0" w:latentStyles="1" w:stylesInUse="0" w:headingStyles="0" w:numberingStyles="0" w:tableStyles="0" w:directFormattingOnRuns="0" w:directFormattingOnParagraphs="0" w:directFormattingOnNumbering="1" w:directFormattingOnTables="0" w:clearFormatting="1" w:top3HeadingStyles="1" w:visibleStyles="1"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ezMLQwMzGzNDUzMjVX0lEKTi0uzszPAykwqQUAhw8a7CwAAAA="/>
  </w:docVars>
  <w:rsids>
    <w:rsidRoot w:val="00246328"/>
    <w:rsid w:val="00002106"/>
    <w:rsid w:val="00002ABD"/>
    <w:rsid w:val="0000380E"/>
    <w:rsid w:val="000053F4"/>
    <w:rsid w:val="00006AFA"/>
    <w:rsid w:val="00006F99"/>
    <w:rsid w:val="00016BFA"/>
    <w:rsid w:val="0002244F"/>
    <w:rsid w:val="00024EB7"/>
    <w:rsid w:val="0002756E"/>
    <w:rsid w:val="0003535D"/>
    <w:rsid w:val="00047D56"/>
    <w:rsid w:val="000569AB"/>
    <w:rsid w:val="0005798A"/>
    <w:rsid w:val="00060894"/>
    <w:rsid w:val="00070DC9"/>
    <w:rsid w:val="00072635"/>
    <w:rsid w:val="00073B78"/>
    <w:rsid w:val="00073C53"/>
    <w:rsid w:val="00075D8C"/>
    <w:rsid w:val="00080A49"/>
    <w:rsid w:val="00080E87"/>
    <w:rsid w:val="00090A8A"/>
    <w:rsid w:val="000923C3"/>
    <w:rsid w:val="000978A8"/>
    <w:rsid w:val="000A016A"/>
    <w:rsid w:val="000A48DD"/>
    <w:rsid w:val="000B19E7"/>
    <w:rsid w:val="000B1E28"/>
    <w:rsid w:val="000B5DB6"/>
    <w:rsid w:val="000B7957"/>
    <w:rsid w:val="000D444B"/>
    <w:rsid w:val="000D460A"/>
    <w:rsid w:val="000D4A17"/>
    <w:rsid w:val="000E172B"/>
    <w:rsid w:val="000F3B03"/>
    <w:rsid w:val="000F3D0D"/>
    <w:rsid w:val="000F47F3"/>
    <w:rsid w:val="000F69D9"/>
    <w:rsid w:val="0010404A"/>
    <w:rsid w:val="00104CCB"/>
    <w:rsid w:val="00104F44"/>
    <w:rsid w:val="00105436"/>
    <w:rsid w:val="00106ADF"/>
    <w:rsid w:val="001139A9"/>
    <w:rsid w:val="001170C2"/>
    <w:rsid w:val="00124864"/>
    <w:rsid w:val="00131643"/>
    <w:rsid w:val="0013165E"/>
    <w:rsid w:val="00134896"/>
    <w:rsid w:val="001348A2"/>
    <w:rsid w:val="001348D8"/>
    <w:rsid w:val="00141013"/>
    <w:rsid w:val="00142C2E"/>
    <w:rsid w:val="00145404"/>
    <w:rsid w:val="001519A2"/>
    <w:rsid w:val="00151D72"/>
    <w:rsid w:val="0015221D"/>
    <w:rsid w:val="001544CC"/>
    <w:rsid w:val="00156D1A"/>
    <w:rsid w:val="00157F5C"/>
    <w:rsid w:val="001731BD"/>
    <w:rsid w:val="00182A16"/>
    <w:rsid w:val="00182DA8"/>
    <w:rsid w:val="00183F66"/>
    <w:rsid w:val="0018491E"/>
    <w:rsid w:val="00185471"/>
    <w:rsid w:val="001905D9"/>
    <w:rsid w:val="00190823"/>
    <w:rsid w:val="0019320C"/>
    <w:rsid w:val="001964BB"/>
    <w:rsid w:val="001A0740"/>
    <w:rsid w:val="001A15B9"/>
    <w:rsid w:val="001A34BC"/>
    <w:rsid w:val="001A46D8"/>
    <w:rsid w:val="001A5ECC"/>
    <w:rsid w:val="001A6713"/>
    <w:rsid w:val="001A6BB7"/>
    <w:rsid w:val="001B00DC"/>
    <w:rsid w:val="001B1A41"/>
    <w:rsid w:val="001B2559"/>
    <w:rsid w:val="001B51CE"/>
    <w:rsid w:val="001C4A87"/>
    <w:rsid w:val="001C64A5"/>
    <w:rsid w:val="001C6695"/>
    <w:rsid w:val="001D29D3"/>
    <w:rsid w:val="001D4637"/>
    <w:rsid w:val="001F7584"/>
    <w:rsid w:val="00200DA8"/>
    <w:rsid w:val="00203EBA"/>
    <w:rsid w:val="0020556E"/>
    <w:rsid w:val="00217EA0"/>
    <w:rsid w:val="0022741B"/>
    <w:rsid w:val="00227423"/>
    <w:rsid w:val="002412BF"/>
    <w:rsid w:val="00242126"/>
    <w:rsid w:val="0024481B"/>
    <w:rsid w:val="00246328"/>
    <w:rsid w:val="0025049B"/>
    <w:rsid w:val="002516C3"/>
    <w:rsid w:val="002529E6"/>
    <w:rsid w:val="00267F15"/>
    <w:rsid w:val="0027130F"/>
    <w:rsid w:val="00271C1F"/>
    <w:rsid w:val="002770C6"/>
    <w:rsid w:val="00277887"/>
    <w:rsid w:val="00292A35"/>
    <w:rsid w:val="00297B45"/>
    <w:rsid w:val="002A0C53"/>
    <w:rsid w:val="002A0FD5"/>
    <w:rsid w:val="002A2710"/>
    <w:rsid w:val="002A6A12"/>
    <w:rsid w:val="002B1C66"/>
    <w:rsid w:val="002B4556"/>
    <w:rsid w:val="002B76BF"/>
    <w:rsid w:val="002C4124"/>
    <w:rsid w:val="002C6F00"/>
    <w:rsid w:val="002C71C9"/>
    <w:rsid w:val="002D1F23"/>
    <w:rsid w:val="002D328F"/>
    <w:rsid w:val="002E0AF2"/>
    <w:rsid w:val="002E2DFC"/>
    <w:rsid w:val="002E381D"/>
    <w:rsid w:val="002F07C7"/>
    <w:rsid w:val="002F200D"/>
    <w:rsid w:val="002F2AD5"/>
    <w:rsid w:val="002F5E52"/>
    <w:rsid w:val="002F6434"/>
    <w:rsid w:val="00304554"/>
    <w:rsid w:val="0030633E"/>
    <w:rsid w:val="003070F1"/>
    <w:rsid w:val="00307782"/>
    <w:rsid w:val="00311A28"/>
    <w:rsid w:val="0031374C"/>
    <w:rsid w:val="00314870"/>
    <w:rsid w:val="00315D3D"/>
    <w:rsid w:val="00316265"/>
    <w:rsid w:val="00316961"/>
    <w:rsid w:val="003218D9"/>
    <w:rsid w:val="00323451"/>
    <w:rsid w:val="00330408"/>
    <w:rsid w:val="0033357D"/>
    <w:rsid w:val="00335CDC"/>
    <w:rsid w:val="00344E35"/>
    <w:rsid w:val="003508AF"/>
    <w:rsid w:val="00354B23"/>
    <w:rsid w:val="00364CE1"/>
    <w:rsid w:val="00366FB2"/>
    <w:rsid w:val="0037007B"/>
    <w:rsid w:val="00372BE8"/>
    <w:rsid w:val="00375D63"/>
    <w:rsid w:val="0037795C"/>
    <w:rsid w:val="00380313"/>
    <w:rsid w:val="0039327B"/>
    <w:rsid w:val="0039527F"/>
    <w:rsid w:val="00397294"/>
    <w:rsid w:val="003A24C4"/>
    <w:rsid w:val="003A73F4"/>
    <w:rsid w:val="003B18F6"/>
    <w:rsid w:val="003B1C9F"/>
    <w:rsid w:val="003C3894"/>
    <w:rsid w:val="003C4F9B"/>
    <w:rsid w:val="003C7B1F"/>
    <w:rsid w:val="003D020B"/>
    <w:rsid w:val="003D35F9"/>
    <w:rsid w:val="003D51FE"/>
    <w:rsid w:val="003D6F45"/>
    <w:rsid w:val="003E3CEC"/>
    <w:rsid w:val="003E4241"/>
    <w:rsid w:val="003E6933"/>
    <w:rsid w:val="003E7870"/>
    <w:rsid w:val="003E7FAA"/>
    <w:rsid w:val="003F00B4"/>
    <w:rsid w:val="003F45FB"/>
    <w:rsid w:val="003F4669"/>
    <w:rsid w:val="003F5DB1"/>
    <w:rsid w:val="004034B4"/>
    <w:rsid w:val="004056EE"/>
    <w:rsid w:val="0040620B"/>
    <w:rsid w:val="00417FCA"/>
    <w:rsid w:val="0042104C"/>
    <w:rsid w:val="004222CC"/>
    <w:rsid w:val="00426A07"/>
    <w:rsid w:val="00427327"/>
    <w:rsid w:val="00427970"/>
    <w:rsid w:val="00432C85"/>
    <w:rsid w:val="0043558F"/>
    <w:rsid w:val="00436617"/>
    <w:rsid w:val="004375AF"/>
    <w:rsid w:val="004408AA"/>
    <w:rsid w:val="00443124"/>
    <w:rsid w:val="0044506C"/>
    <w:rsid w:val="004603B7"/>
    <w:rsid w:val="00463394"/>
    <w:rsid w:val="00464212"/>
    <w:rsid w:val="00467427"/>
    <w:rsid w:val="004708DC"/>
    <w:rsid w:val="00471C49"/>
    <w:rsid w:val="00471E5D"/>
    <w:rsid w:val="00476337"/>
    <w:rsid w:val="00476CB0"/>
    <w:rsid w:val="00482A36"/>
    <w:rsid w:val="00484325"/>
    <w:rsid w:val="004A25AD"/>
    <w:rsid w:val="004A2E8A"/>
    <w:rsid w:val="004A3C8A"/>
    <w:rsid w:val="004A4D32"/>
    <w:rsid w:val="004A62C4"/>
    <w:rsid w:val="004A6F48"/>
    <w:rsid w:val="004B1DA5"/>
    <w:rsid w:val="004B3F95"/>
    <w:rsid w:val="004C3439"/>
    <w:rsid w:val="004D0F9B"/>
    <w:rsid w:val="004D17D1"/>
    <w:rsid w:val="004D1864"/>
    <w:rsid w:val="004D42B3"/>
    <w:rsid w:val="004E2382"/>
    <w:rsid w:val="004E45E3"/>
    <w:rsid w:val="004E52BC"/>
    <w:rsid w:val="004F04E3"/>
    <w:rsid w:val="004F3611"/>
    <w:rsid w:val="00501375"/>
    <w:rsid w:val="00507835"/>
    <w:rsid w:val="005125D4"/>
    <w:rsid w:val="00515E72"/>
    <w:rsid w:val="0052083B"/>
    <w:rsid w:val="00522A17"/>
    <w:rsid w:val="00525C23"/>
    <w:rsid w:val="00525F80"/>
    <w:rsid w:val="005264E6"/>
    <w:rsid w:val="005324E4"/>
    <w:rsid w:val="00533301"/>
    <w:rsid w:val="00533563"/>
    <w:rsid w:val="005349FF"/>
    <w:rsid w:val="00536503"/>
    <w:rsid w:val="0054180C"/>
    <w:rsid w:val="00543343"/>
    <w:rsid w:val="00544B3E"/>
    <w:rsid w:val="00547F28"/>
    <w:rsid w:val="005537BB"/>
    <w:rsid w:val="00557CF0"/>
    <w:rsid w:val="00562288"/>
    <w:rsid w:val="00565523"/>
    <w:rsid w:val="00570C29"/>
    <w:rsid w:val="0057155E"/>
    <w:rsid w:val="0057322D"/>
    <w:rsid w:val="0058298A"/>
    <w:rsid w:val="005924FD"/>
    <w:rsid w:val="005933EF"/>
    <w:rsid w:val="005938FF"/>
    <w:rsid w:val="00595495"/>
    <w:rsid w:val="0059638A"/>
    <w:rsid w:val="00596663"/>
    <w:rsid w:val="00597413"/>
    <w:rsid w:val="005A0C87"/>
    <w:rsid w:val="005A6BE1"/>
    <w:rsid w:val="005A6EE8"/>
    <w:rsid w:val="005A7DA0"/>
    <w:rsid w:val="005B3064"/>
    <w:rsid w:val="005B743E"/>
    <w:rsid w:val="005C43F3"/>
    <w:rsid w:val="005C6D11"/>
    <w:rsid w:val="005D0931"/>
    <w:rsid w:val="005D2765"/>
    <w:rsid w:val="005D3D6F"/>
    <w:rsid w:val="005D6F91"/>
    <w:rsid w:val="005D7699"/>
    <w:rsid w:val="005E044E"/>
    <w:rsid w:val="005F4852"/>
    <w:rsid w:val="006002A5"/>
    <w:rsid w:val="00602B3B"/>
    <w:rsid w:val="00602C3A"/>
    <w:rsid w:val="006073BF"/>
    <w:rsid w:val="00614F83"/>
    <w:rsid w:val="00617B95"/>
    <w:rsid w:val="0062454D"/>
    <w:rsid w:val="00630918"/>
    <w:rsid w:val="006329DA"/>
    <w:rsid w:val="00635CB0"/>
    <w:rsid w:val="00643CC7"/>
    <w:rsid w:val="00645C77"/>
    <w:rsid w:val="00655330"/>
    <w:rsid w:val="006557FC"/>
    <w:rsid w:val="00655E9B"/>
    <w:rsid w:val="00656112"/>
    <w:rsid w:val="006572FC"/>
    <w:rsid w:val="0065761F"/>
    <w:rsid w:val="00661373"/>
    <w:rsid w:val="00663B7D"/>
    <w:rsid w:val="00663BAF"/>
    <w:rsid w:val="00665418"/>
    <w:rsid w:val="00665B44"/>
    <w:rsid w:val="00671C25"/>
    <w:rsid w:val="00673E13"/>
    <w:rsid w:val="006778C5"/>
    <w:rsid w:val="00681BD5"/>
    <w:rsid w:val="006851E0"/>
    <w:rsid w:val="0068548C"/>
    <w:rsid w:val="00687042"/>
    <w:rsid w:val="00690111"/>
    <w:rsid w:val="006975A9"/>
    <w:rsid w:val="006A137A"/>
    <w:rsid w:val="006A473B"/>
    <w:rsid w:val="006A4E2A"/>
    <w:rsid w:val="006A5294"/>
    <w:rsid w:val="006A5A15"/>
    <w:rsid w:val="006A7269"/>
    <w:rsid w:val="006B056B"/>
    <w:rsid w:val="006B6333"/>
    <w:rsid w:val="006B7022"/>
    <w:rsid w:val="006C2207"/>
    <w:rsid w:val="006C7ABF"/>
    <w:rsid w:val="006D4DB1"/>
    <w:rsid w:val="006E37E6"/>
    <w:rsid w:val="006E3E55"/>
    <w:rsid w:val="006E6A38"/>
    <w:rsid w:val="006F4D54"/>
    <w:rsid w:val="006F558A"/>
    <w:rsid w:val="0072055D"/>
    <w:rsid w:val="007301C8"/>
    <w:rsid w:val="00730233"/>
    <w:rsid w:val="00732881"/>
    <w:rsid w:val="007353A5"/>
    <w:rsid w:val="00736978"/>
    <w:rsid w:val="00741173"/>
    <w:rsid w:val="00742250"/>
    <w:rsid w:val="00744BDA"/>
    <w:rsid w:val="007455BA"/>
    <w:rsid w:val="00747DB2"/>
    <w:rsid w:val="00753459"/>
    <w:rsid w:val="00754904"/>
    <w:rsid w:val="00757853"/>
    <w:rsid w:val="0076059B"/>
    <w:rsid w:val="007623C0"/>
    <w:rsid w:val="0076398B"/>
    <w:rsid w:val="00770C66"/>
    <w:rsid w:val="007762F7"/>
    <w:rsid w:val="00776762"/>
    <w:rsid w:val="0077778E"/>
    <w:rsid w:val="00780798"/>
    <w:rsid w:val="0078396F"/>
    <w:rsid w:val="007869D8"/>
    <w:rsid w:val="00786E74"/>
    <w:rsid w:val="00796C7A"/>
    <w:rsid w:val="007A0A35"/>
    <w:rsid w:val="007A2151"/>
    <w:rsid w:val="007A6BD7"/>
    <w:rsid w:val="007B0382"/>
    <w:rsid w:val="007B0FCD"/>
    <w:rsid w:val="007B4F91"/>
    <w:rsid w:val="007B6547"/>
    <w:rsid w:val="007C152B"/>
    <w:rsid w:val="007D71AB"/>
    <w:rsid w:val="007E0023"/>
    <w:rsid w:val="007E1920"/>
    <w:rsid w:val="007E5894"/>
    <w:rsid w:val="007E7633"/>
    <w:rsid w:val="007F1987"/>
    <w:rsid w:val="007F239D"/>
    <w:rsid w:val="007F671B"/>
    <w:rsid w:val="00800914"/>
    <w:rsid w:val="008015E7"/>
    <w:rsid w:val="00805392"/>
    <w:rsid w:val="00807869"/>
    <w:rsid w:val="008111E1"/>
    <w:rsid w:val="00816541"/>
    <w:rsid w:val="008207E7"/>
    <w:rsid w:val="00820C9B"/>
    <w:rsid w:val="00823E2C"/>
    <w:rsid w:val="00833E04"/>
    <w:rsid w:val="0083444C"/>
    <w:rsid w:val="008363D2"/>
    <w:rsid w:val="00837919"/>
    <w:rsid w:val="00840098"/>
    <w:rsid w:val="008407B8"/>
    <w:rsid w:val="008427AA"/>
    <w:rsid w:val="0084358B"/>
    <w:rsid w:val="00847093"/>
    <w:rsid w:val="0085041E"/>
    <w:rsid w:val="00850F1B"/>
    <w:rsid w:val="008555EB"/>
    <w:rsid w:val="00862C15"/>
    <w:rsid w:val="0087451B"/>
    <w:rsid w:val="00875965"/>
    <w:rsid w:val="00875B7F"/>
    <w:rsid w:val="00875FA7"/>
    <w:rsid w:val="00884008"/>
    <w:rsid w:val="00895E83"/>
    <w:rsid w:val="008A453B"/>
    <w:rsid w:val="008A52C8"/>
    <w:rsid w:val="008C068A"/>
    <w:rsid w:val="008C0E68"/>
    <w:rsid w:val="008D5CC5"/>
    <w:rsid w:val="008E33D8"/>
    <w:rsid w:val="008E5699"/>
    <w:rsid w:val="008F2B48"/>
    <w:rsid w:val="008F37D0"/>
    <w:rsid w:val="008F690D"/>
    <w:rsid w:val="009017C6"/>
    <w:rsid w:val="0090275D"/>
    <w:rsid w:val="009060BC"/>
    <w:rsid w:val="00910206"/>
    <w:rsid w:val="00913238"/>
    <w:rsid w:val="00913A5C"/>
    <w:rsid w:val="009155BC"/>
    <w:rsid w:val="00920C57"/>
    <w:rsid w:val="00921BB7"/>
    <w:rsid w:val="00922B33"/>
    <w:rsid w:val="00923629"/>
    <w:rsid w:val="00923D49"/>
    <w:rsid w:val="0093400D"/>
    <w:rsid w:val="00941202"/>
    <w:rsid w:val="009424D0"/>
    <w:rsid w:val="00945480"/>
    <w:rsid w:val="00946759"/>
    <w:rsid w:val="00955685"/>
    <w:rsid w:val="009605B8"/>
    <w:rsid w:val="009659DC"/>
    <w:rsid w:val="0097102F"/>
    <w:rsid w:val="009725EB"/>
    <w:rsid w:val="00973962"/>
    <w:rsid w:val="009810CA"/>
    <w:rsid w:val="0098175F"/>
    <w:rsid w:val="00987679"/>
    <w:rsid w:val="0099229C"/>
    <w:rsid w:val="009952EC"/>
    <w:rsid w:val="0099748B"/>
    <w:rsid w:val="009A16AF"/>
    <w:rsid w:val="009A4272"/>
    <w:rsid w:val="009A5E25"/>
    <w:rsid w:val="009A605E"/>
    <w:rsid w:val="009B079D"/>
    <w:rsid w:val="009B4D8F"/>
    <w:rsid w:val="009C1223"/>
    <w:rsid w:val="009C1776"/>
    <w:rsid w:val="009C3BD6"/>
    <w:rsid w:val="009C3DFE"/>
    <w:rsid w:val="009C3FC6"/>
    <w:rsid w:val="009C4891"/>
    <w:rsid w:val="009D17D5"/>
    <w:rsid w:val="009D6F5F"/>
    <w:rsid w:val="009D7561"/>
    <w:rsid w:val="009E25A6"/>
    <w:rsid w:val="009E3C6A"/>
    <w:rsid w:val="009E5BB2"/>
    <w:rsid w:val="009F032B"/>
    <w:rsid w:val="009F0603"/>
    <w:rsid w:val="009F2B5F"/>
    <w:rsid w:val="009F2F26"/>
    <w:rsid w:val="00A0307B"/>
    <w:rsid w:val="00A03B97"/>
    <w:rsid w:val="00A05D47"/>
    <w:rsid w:val="00A06C63"/>
    <w:rsid w:val="00A204E8"/>
    <w:rsid w:val="00A24242"/>
    <w:rsid w:val="00A31622"/>
    <w:rsid w:val="00A33F27"/>
    <w:rsid w:val="00A35458"/>
    <w:rsid w:val="00A40746"/>
    <w:rsid w:val="00A42264"/>
    <w:rsid w:val="00A42445"/>
    <w:rsid w:val="00A50B43"/>
    <w:rsid w:val="00A60197"/>
    <w:rsid w:val="00A66AE3"/>
    <w:rsid w:val="00A6718C"/>
    <w:rsid w:val="00A67818"/>
    <w:rsid w:val="00A729CF"/>
    <w:rsid w:val="00A77B60"/>
    <w:rsid w:val="00A82736"/>
    <w:rsid w:val="00A83196"/>
    <w:rsid w:val="00A8392A"/>
    <w:rsid w:val="00A83AEC"/>
    <w:rsid w:val="00A90A66"/>
    <w:rsid w:val="00A91049"/>
    <w:rsid w:val="00A93480"/>
    <w:rsid w:val="00A94123"/>
    <w:rsid w:val="00A970FC"/>
    <w:rsid w:val="00AA1751"/>
    <w:rsid w:val="00AA492B"/>
    <w:rsid w:val="00AA70D4"/>
    <w:rsid w:val="00AB1C60"/>
    <w:rsid w:val="00AB2CA1"/>
    <w:rsid w:val="00AB4D9F"/>
    <w:rsid w:val="00AB778F"/>
    <w:rsid w:val="00AC3733"/>
    <w:rsid w:val="00AC532C"/>
    <w:rsid w:val="00AC6870"/>
    <w:rsid w:val="00AD0DB4"/>
    <w:rsid w:val="00AD19F3"/>
    <w:rsid w:val="00AD565F"/>
    <w:rsid w:val="00AD59DF"/>
    <w:rsid w:val="00AD5FAD"/>
    <w:rsid w:val="00AE162F"/>
    <w:rsid w:val="00AE72BA"/>
    <w:rsid w:val="00AF4C84"/>
    <w:rsid w:val="00AF6B3E"/>
    <w:rsid w:val="00AF7B9A"/>
    <w:rsid w:val="00B027C6"/>
    <w:rsid w:val="00B02FF1"/>
    <w:rsid w:val="00B0303E"/>
    <w:rsid w:val="00B03AE8"/>
    <w:rsid w:val="00B11E65"/>
    <w:rsid w:val="00B128C1"/>
    <w:rsid w:val="00B16111"/>
    <w:rsid w:val="00B16184"/>
    <w:rsid w:val="00B210CC"/>
    <w:rsid w:val="00B23940"/>
    <w:rsid w:val="00B24FED"/>
    <w:rsid w:val="00B24FFD"/>
    <w:rsid w:val="00B258DC"/>
    <w:rsid w:val="00B32566"/>
    <w:rsid w:val="00B33B77"/>
    <w:rsid w:val="00B37C4B"/>
    <w:rsid w:val="00B726C9"/>
    <w:rsid w:val="00B802F3"/>
    <w:rsid w:val="00B80AD2"/>
    <w:rsid w:val="00B84598"/>
    <w:rsid w:val="00B852F1"/>
    <w:rsid w:val="00B87769"/>
    <w:rsid w:val="00B92BC1"/>
    <w:rsid w:val="00B93A98"/>
    <w:rsid w:val="00B96009"/>
    <w:rsid w:val="00B97337"/>
    <w:rsid w:val="00BA77C6"/>
    <w:rsid w:val="00BB2259"/>
    <w:rsid w:val="00BB325D"/>
    <w:rsid w:val="00BB708E"/>
    <w:rsid w:val="00BB7C78"/>
    <w:rsid w:val="00BC05DA"/>
    <w:rsid w:val="00BC4D91"/>
    <w:rsid w:val="00BC5BA9"/>
    <w:rsid w:val="00BC77D6"/>
    <w:rsid w:val="00BC7C80"/>
    <w:rsid w:val="00BD1C3F"/>
    <w:rsid w:val="00BD2B3B"/>
    <w:rsid w:val="00BD32CB"/>
    <w:rsid w:val="00BD345C"/>
    <w:rsid w:val="00BD441F"/>
    <w:rsid w:val="00BD55DE"/>
    <w:rsid w:val="00BD777B"/>
    <w:rsid w:val="00BE0A46"/>
    <w:rsid w:val="00BE0BF7"/>
    <w:rsid w:val="00BE0CFB"/>
    <w:rsid w:val="00BE749B"/>
    <w:rsid w:val="00BF191C"/>
    <w:rsid w:val="00BF7CA9"/>
    <w:rsid w:val="00C040D2"/>
    <w:rsid w:val="00C05318"/>
    <w:rsid w:val="00C06D99"/>
    <w:rsid w:val="00C07185"/>
    <w:rsid w:val="00C10BCF"/>
    <w:rsid w:val="00C13711"/>
    <w:rsid w:val="00C155ED"/>
    <w:rsid w:val="00C15B32"/>
    <w:rsid w:val="00C227F3"/>
    <w:rsid w:val="00C26E78"/>
    <w:rsid w:val="00C27A5E"/>
    <w:rsid w:val="00C34AD6"/>
    <w:rsid w:val="00C35458"/>
    <w:rsid w:val="00C44B25"/>
    <w:rsid w:val="00C56561"/>
    <w:rsid w:val="00C64C2D"/>
    <w:rsid w:val="00C67B24"/>
    <w:rsid w:val="00C67F84"/>
    <w:rsid w:val="00C75707"/>
    <w:rsid w:val="00C77BDF"/>
    <w:rsid w:val="00C80F87"/>
    <w:rsid w:val="00C81699"/>
    <w:rsid w:val="00C830DA"/>
    <w:rsid w:val="00C85A3E"/>
    <w:rsid w:val="00C873DE"/>
    <w:rsid w:val="00C92059"/>
    <w:rsid w:val="00C93ADD"/>
    <w:rsid w:val="00C9671D"/>
    <w:rsid w:val="00C97828"/>
    <w:rsid w:val="00CA023C"/>
    <w:rsid w:val="00CA454F"/>
    <w:rsid w:val="00CB36C3"/>
    <w:rsid w:val="00CB526D"/>
    <w:rsid w:val="00CC6F3C"/>
    <w:rsid w:val="00CD00A4"/>
    <w:rsid w:val="00CD0C0F"/>
    <w:rsid w:val="00CD3315"/>
    <w:rsid w:val="00CD4401"/>
    <w:rsid w:val="00CD5092"/>
    <w:rsid w:val="00CD52B6"/>
    <w:rsid w:val="00CD5622"/>
    <w:rsid w:val="00CD75AD"/>
    <w:rsid w:val="00CE28CB"/>
    <w:rsid w:val="00CE3761"/>
    <w:rsid w:val="00CE68C7"/>
    <w:rsid w:val="00CF238E"/>
    <w:rsid w:val="00CF345D"/>
    <w:rsid w:val="00CF6A99"/>
    <w:rsid w:val="00D010E4"/>
    <w:rsid w:val="00D03863"/>
    <w:rsid w:val="00D071DA"/>
    <w:rsid w:val="00D174C5"/>
    <w:rsid w:val="00D17B65"/>
    <w:rsid w:val="00D22B0F"/>
    <w:rsid w:val="00D26143"/>
    <w:rsid w:val="00D33DE1"/>
    <w:rsid w:val="00D3522E"/>
    <w:rsid w:val="00D35A09"/>
    <w:rsid w:val="00D36FC7"/>
    <w:rsid w:val="00D41F09"/>
    <w:rsid w:val="00D42952"/>
    <w:rsid w:val="00D4412A"/>
    <w:rsid w:val="00D503E1"/>
    <w:rsid w:val="00D509C1"/>
    <w:rsid w:val="00D53EF5"/>
    <w:rsid w:val="00D57C6A"/>
    <w:rsid w:val="00D60A78"/>
    <w:rsid w:val="00D65392"/>
    <w:rsid w:val="00D65FFD"/>
    <w:rsid w:val="00D710CA"/>
    <w:rsid w:val="00D716A5"/>
    <w:rsid w:val="00D759E9"/>
    <w:rsid w:val="00D81565"/>
    <w:rsid w:val="00D86682"/>
    <w:rsid w:val="00D903DE"/>
    <w:rsid w:val="00D907DF"/>
    <w:rsid w:val="00D90E96"/>
    <w:rsid w:val="00D92808"/>
    <w:rsid w:val="00D948E0"/>
    <w:rsid w:val="00DA551A"/>
    <w:rsid w:val="00DB1B6B"/>
    <w:rsid w:val="00DB283D"/>
    <w:rsid w:val="00DD100B"/>
    <w:rsid w:val="00DD3FC5"/>
    <w:rsid w:val="00DD49C8"/>
    <w:rsid w:val="00DD506D"/>
    <w:rsid w:val="00DD594D"/>
    <w:rsid w:val="00DD78D3"/>
    <w:rsid w:val="00DE1BCA"/>
    <w:rsid w:val="00DE5C04"/>
    <w:rsid w:val="00DE6C66"/>
    <w:rsid w:val="00DF168C"/>
    <w:rsid w:val="00DF4F18"/>
    <w:rsid w:val="00DF7EDA"/>
    <w:rsid w:val="00E043C0"/>
    <w:rsid w:val="00E15219"/>
    <w:rsid w:val="00E15891"/>
    <w:rsid w:val="00E1659F"/>
    <w:rsid w:val="00E169BE"/>
    <w:rsid w:val="00E21E35"/>
    <w:rsid w:val="00E22482"/>
    <w:rsid w:val="00E31BFB"/>
    <w:rsid w:val="00E32CE8"/>
    <w:rsid w:val="00E331DC"/>
    <w:rsid w:val="00E33225"/>
    <w:rsid w:val="00E33AA1"/>
    <w:rsid w:val="00E375EC"/>
    <w:rsid w:val="00E46D40"/>
    <w:rsid w:val="00E47B24"/>
    <w:rsid w:val="00E51AD5"/>
    <w:rsid w:val="00E53B3E"/>
    <w:rsid w:val="00E54384"/>
    <w:rsid w:val="00E55452"/>
    <w:rsid w:val="00E57C00"/>
    <w:rsid w:val="00E634AB"/>
    <w:rsid w:val="00E71A46"/>
    <w:rsid w:val="00E7594A"/>
    <w:rsid w:val="00E766CF"/>
    <w:rsid w:val="00E8092C"/>
    <w:rsid w:val="00E82AE0"/>
    <w:rsid w:val="00E8489C"/>
    <w:rsid w:val="00E90081"/>
    <w:rsid w:val="00E9084B"/>
    <w:rsid w:val="00E95A8A"/>
    <w:rsid w:val="00EA0149"/>
    <w:rsid w:val="00EA26A7"/>
    <w:rsid w:val="00EA2BB4"/>
    <w:rsid w:val="00EA4444"/>
    <w:rsid w:val="00EA5754"/>
    <w:rsid w:val="00EB3843"/>
    <w:rsid w:val="00EB43F7"/>
    <w:rsid w:val="00EB59E1"/>
    <w:rsid w:val="00EB7147"/>
    <w:rsid w:val="00EC4CF8"/>
    <w:rsid w:val="00EC6E09"/>
    <w:rsid w:val="00ED26B3"/>
    <w:rsid w:val="00ED33BC"/>
    <w:rsid w:val="00ED41DF"/>
    <w:rsid w:val="00ED6DD2"/>
    <w:rsid w:val="00EE2060"/>
    <w:rsid w:val="00EE574F"/>
    <w:rsid w:val="00EF0D26"/>
    <w:rsid w:val="00EF1B38"/>
    <w:rsid w:val="00F02AE6"/>
    <w:rsid w:val="00F105A4"/>
    <w:rsid w:val="00F10AC7"/>
    <w:rsid w:val="00F26A92"/>
    <w:rsid w:val="00F27ADE"/>
    <w:rsid w:val="00F351BA"/>
    <w:rsid w:val="00F43D6C"/>
    <w:rsid w:val="00F52389"/>
    <w:rsid w:val="00F65AE5"/>
    <w:rsid w:val="00F67FF1"/>
    <w:rsid w:val="00F706FC"/>
    <w:rsid w:val="00F758C6"/>
    <w:rsid w:val="00F90EB5"/>
    <w:rsid w:val="00F93BBB"/>
    <w:rsid w:val="00FA093D"/>
    <w:rsid w:val="00FA0B12"/>
    <w:rsid w:val="00FA494D"/>
    <w:rsid w:val="00FA4F99"/>
    <w:rsid w:val="00FA6D80"/>
    <w:rsid w:val="00FB4F5B"/>
    <w:rsid w:val="00FC03D6"/>
    <w:rsid w:val="00FC1C6B"/>
    <w:rsid w:val="00FC4DEA"/>
    <w:rsid w:val="00FC74B5"/>
    <w:rsid w:val="00FE03DF"/>
    <w:rsid w:val="00FE0FE2"/>
    <w:rsid w:val="00FE5E71"/>
    <w:rsid w:val="00FF0222"/>
    <w:rsid w:val="00FF196F"/>
    <w:rsid w:val="00FF2529"/>
    <w:rsid w:val="00FF3FD4"/>
    <w:rsid w:val="00FF5C68"/>
    <w:rsid w:val="00FF752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112A2"/>
  <w15:docId w15:val="{261BCE45-3731-45E9-9C4C-720AA858E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color w:val="000000" w:themeColor="text1"/>
        <w:lang w:val="en-AU" w:eastAsia="en-US" w:bidi="ar-SA"/>
      </w:rPr>
    </w:rPrDefault>
    <w:pPrDefault>
      <w:pPr>
        <w:spacing w:after="140" w:line="280" w:lineRule="atLeast"/>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3"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iPriority="1" w:unhideWhenUsed="1" w:qFormat="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7"/>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AC6870"/>
  </w:style>
  <w:style w:type="paragraph" w:styleId="Heading1">
    <w:name w:val="heading 1"/>
    <w:next w:val="Normal"/>
    <w:link w:val="Heading1Char"/>
    <w:qFormat/>
    <w:rsid w:val="000A016A"/>
    <w:pPr>
      <w:keepNext/>
      <w:keepLines/>
      <w:spacing w:before="480" w:after="260" w:line="520" w:lineRule="atLeast"/>
      <w:outlineLvl w:val="0"/>
    </w:pPr>
    <w:rPr>
      <w:rFonts w:asciiTheme="majorHAnsi" w:eastAsiaTheme="majorEastAsia" w:hAnsiTheme="majorHAnsi" w:cstheme="majorBidi"/>
      <w:b/>
      <w:color w:val="3844CA" w:themeColor="background2"/>
      <w:spacing w:val="-10"/>
      <w:sz w:val="44"/>
      <w:szCs w:val="32"/>
    </w:rPr>
  </w:style>
  <w:style w:type="paragraph" w:styleId="Heading2">
    <w:name w:val="heading 2"/>
    <w:next w:val="Normal"/>
    <w:link w:val="Heading2Char"/>
    <w:qFormat/>
    <w:rsid w:val="000A016A"/>
    <w:pPr>
      <w:keepNext/>
      <w:keepLines/>
      <w:spacing w:before="480" w:after="200" w:line="400" w:lineRule="atLeast"/>
      <w:outlineLvl w:val="1"/>
    </w:pPr>
    <w:rPr>
      <w:rFonts w:asciiTheme="majorHAnsi" w:eastAsiaTheme="majorEastAsia" w:hAnsiTheme="majorHAnsi" w:cstheme="majorBidi"/>
      <w:b/>
      <w:color w:val="3844CA" w:themeColor="accent1"/>
      <w:spacing w:val="-4"/>
      <w:sz w:val="32"/>
      <w:szCs w:val="26"/>
    </w:rPr>
  </w:style>
  <w:style w:type="paragraph" w:styleId="Heading3">
    <w:name w:val="heading 3"/>
    <w:next w:val="Normal"/>
    <w:link w:val="Heading3Char"/>
    <w:qFormat/>
    <w:rsid w:val="00FA0B12"/>
    <w:pPr>
      <w:keepNext/>
      <w:keepLines/>
      <w:spacing w:before="320" w:after="160" w:line="320" w:lineRule="atLeast"/>
      <w:outlineLvl w:val="2"/>
    </w:pPr>
    <w:rPr>
      <w:rFonts w:eastAsiaTheme="majorEastAsia" w:cstheme="majorBidi"/>
      <w:b/>
      <w:spacing w:val="4"/>
      <w:sz w:val="24"/>
      <w:szCs w:val="24"/>
    </w:rPr>
  </w:style>
  <w:style w:type="paragraph" w:styleId="Heading4">
    <w:name w:val="heading 4"/>
    <w:link w:val="Heading4Char"/>
    <w:qFormat/>
    <w:rsid w:val="00DE1BCA"/>
    <w:pPr>
      <w:keepNext/>
      <w:keepLines/>
      <w:spacing w:before="280"/>
      <w:outlineLvl w:val="3"/>
    </w:pPr>
    <w:rPr>
      <w:rFonts w:eastAsiaTheme="majorEastAsia" w:cstheme="majorBidi"/>
      <w:b/>
      <w:iCs/>
    </w:rPr>
  </w:style>
  <w:style w:type="paragraph" w:styleId="Heading5">
    <w:name w:val="heading 5"/>
    <w:basedOn w:val="Normal"/>
    <w:next w:val="Normal"/>
    <w:link w:val="Heading5Char"/>
    <w:uiPriority w:val="1"/>
    <w:semiHidden/>
    <w:qFormat/>
    <w:rsid w:val="00850F1B"/>
    <w:pPr>
      <w:keepNext/>
      <w:keepLines/>
      <w:spacing w:before="300" w:after="240"/>
      <w:outlineLvl w:val="4"/>
    </w:pPr>
    <w:rPr>
      <w:rFonts w:asciiTheme="majorHAnsi" w:eastAsiaTheme="majorEastAsia" w:hAnsiTheme="majorHAnsi" w:cstheme="majorBidi"/>
      <w:sz w:val="24"/>
      <w:u w:val="single"/>
    </w:rPr>
  </w:style>
  <w:style w:type="paragraph" w:styleId="Heading6">
    <w:name w:val="heading 6"/>
    <w:basedOn w:val="Normal"/>
    <w:next w:val="Normal"/>
    <w:link w:val="Heading6Char"/>
    <w:uiPriority w:val="2"/>
    <w:semiHidden/>
    <w:qFormat/>
    <w:rsid w:val="00850F1B"/>
    <w:pPr>
      <w:keepNext/>
      <w:keepLines/>
      <w:spacing w:before="40" w:after="240"/>
      <w:outlineLvl w:val="5"/>
    </w:pPr>
    <w:rPr>
      <w:rFonts w:asciiTheme="majorHAnsi" w:eastAsiaTheme="majorEastAsia" w:hAnsiTheme="majorHAnsi" w:cstheme="majorBidi"/>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link w:val="FootnoteTextChar"/>
    <w:uiPriority w:val="99"/>
    <w:qFormat/>
    <w:rsid w:val="00913A5C"/>
    <w:pPr>
      <w:adjustRightInd w:val="0"/>
      <w:snapToGrid w:val="0"/>
      <w:spacing w:after="40" w:line="240" w:lineRule="auto"/>
    </w:pPr>
    <w:rPr>
      <w:rFonts w:cstheme="minorBidi"/>
      <w:sz w:val="16"/>
    </w:rPr>
  </w:style>
  <w:style w:type="paragraph" w:customStyle="1" w:styleId="FooterAddress">
    <w:name w:val="Footer Address"/>
    <w:basedOn w:val="Normal"/>
    <w:semiHidden/>
    <w:rsid w:val="003C4F9B"/>
    <w:rPr>
      <w:sz w:val="14"/>
      <w:szCs w:val="14"/>
      <w:lang w:val="en-US"/>
    </w:rPr>
  </w:style>
  <w:style w:type="paragraph" w:customStyle="1" w:styleId="FooterHeading">
    <w:name w:val="Footer Heading"/>
    <w:basedOn w:val="Normal"/>
    <w:semiHidden/>
    <w:rsid w:val="003C4F9B"/>
    <w:rPr>
      <w:sz w:val="12"/>
      <w:szCs w:val="12"/>
      <w:lang w:val="en-US"/>
    </w:rPr>
  </w:style>
  <w:style w:type="paragraph" w:customStyle="1" w:styleId="ContactNum">
    <w:name w:val="Contact Num"/>
    <w:basedOn w:val="Normal"/>
    <w:semiHidden/>
    <w:rsid w:val="003C4F9B"/>
    <w:pPr>
      <w:spacing w:after="44" w:line="195" w:lineRule="atLeast"/>
    </w:pPr>
    <w:rPr>
      <w:rFonts w:ascii="Calibri Light" w:hAnsi="Calibri Light"/>
      <w:color w:val="58585A"/>
      <w:sz w:val="14"/>
      <w:szCs w:val="14"/>
      <w:lang w:val="en-US"/>
    </w:rPr>
  </w:style>
  <w:style w:type="paragraph" w:customStyle="1" w:styleId="ContactName">
    <w:name w:val="Contact Name"/>
    <w:basedOn w:val="ContactNum"/>
    <w:semiHidden/>
    <w:rsid w:val="003C4F9B"/>
    <w:pPr>
      <w:spacing w:after="0" w:line="240" w:lineRule="auto"/>
    </w:pPr>
    <w:rPr>
      <w:b/>
    </w:rPr>
  </w:style>
  <w:style w:type="table" w:styleId="TableGrid">
    <w:name w:val="Table Grid"/>
    <w:basedOn w:val="TableNormal"/>
    <w:uiPriority w:val="59"/>
    <w:rsid w:val="003C4F9B"/>
    <w:rPr>
      <w:sz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URL">
    <w:name w:val="Footer URL"/>
    <w:basedOn w:val="Footer"/>
    <w:semiHidden/>
    <w:rsid w:val="00EA26A7"/>
    <w:pPr>
      <w:spacing w:before="70" w:after="57" w:line="180" w:lineRule="atLeast"/>
      <w:jc w:val="center"/>
    </w:pPr>
    <w:rPr>
      <w:rFonts w:ascii="Montserrat Medium" w:hAnsi="Montserrat Medium"/>
    </w:rPr>
  </w:style>
  <w:style w:type="paragraph" w:styleId="Footer">
    <w:name w:val="footer"/>
    <w:link w:val="FooterChar"/>
    <w:uiPriority w:val="99"/>
    <w:qFormat/>
    <w:rsid w:val="005938FF"/>
    <w:rPr>
      <w:rFonts w:eastAsia="MS Mincho" w:cstheme="minorHAnsi"/>
      <w:caps/>
      <w:szCs w:val="14"/>
      <w:lang w:eastAsia="ja-JP"/>
    </w:rPr>
  </w:style>
  <w:style w:type="character" w:customStyle="1" w:styleId="FooterChar">
    <w:name w:val="Footer Char"/>
    <w:basedOn w:val="DefaultParagraphFont"/>
    <w:link w:val="Footer"/>
    <w:uiPriority w:val="99"/>
    <w:rsid w:val="006D4DB1"/>
    <w:rPr>
      <w:rFonts w:eastAsia="MS Mincho" w:cstheme="minorHAnsi"/>
      <w:caps/>
      <w:color w:val="000000" w:themeColor="text1"/>
      <w:sz w:val="20"/>
      <w:szCs w:val="14"/>
      <w:lang w:eastAsia="ja-JP"/>
    </w:rPr>
  </w:style>
  <w:style w:type="paragraph" w:customStyle="1" w:styleId="FooterCompanyName">
    <w:name w:val="Footer Company Name"/>
    <w:basedOn w:val="Footer"/>
    <w:semiHidden/>
    <w:qFormat/>
    <w:rsid w:val="00EA26A7"/>
    <w:rPr>
      <w:rFonts w:ascii="Montserrat SemiBold" w:hAnsi="Montserrat SemiBold"/>
    </w:rPr>
  </w:style>
  <w:style w:type="paragraph" w:customStyle="1" w:styleId="FooterContactdetails">
    <w:name w:val="Footer Contact details"/>
    <w:basedOn w:val="Footer"/>
    <w:semiHidden/>
    <w:qFormat/>
    <w:rsid w:val="00EA26A7"/>
    <w:pPr>
      <w:spacing w:before="90" w:line="180" w:lineRule="atLeast"/>
    </w:pPr>
  </w:style>
  <w:style w:type="paragraph" w:customStyle="1" w:styleId="FooterABN">
    <w:name w:val="Footer ABN"/>
    <w:basedOn w:val="Footer"/>
    <w:link w:val="FooterABNChar"/>
    <w:semiHidden/>
    <w:qFormat/>
    <w:rsid w:val="00EA26A7"/>
    <w:pPr>
      <w:spacing w:after="80" w:line="180" w:lineRule="atLeast"/>
      <w:contextualSpacing/>
    </w:pPr>
    <w:rPr>
      <w:sz w:val="12"/>
    </w:rPr>
  </w:style>
  <w:style w:type="character" w:customStyle="1" w:styleId="FooterABNChar">
    <w:name w:val="Footer ABN Char"/>
    <w:basedOn w:val="FooterChar"/>
    <w:link w:val="FooterABN"/>
    <w:semiHidden/>
    <w:rsid w:val="00EA26A7"/>
    <w:rPr>
      <w:rFonts w:ascii="Montserrat Light" w:eastAsia="MS Mincho" w:hAnsi="Montserrat Light" w:cstheme="minorHAnsi"/>
      <w:caps/>
      <w:color w:val="3844CA" w:themeColor="background2"/>
      <w:sz w:val="12"/>
      <w:szCs w:val="14"/>
      <w:lang w:eastAsia="ja-JP"/>
    </w:rPr>
  </w:style>
  <w:style w:type="paragraph" w:styleId="Header">
    <w:name w:val="header"/>
    <w:basedOn w:val="Normal"/>
    <w:link w:val="HeaderChar"/>
    <w:uiPriority w:val="99"/>
    <w:rsid w:val="004B3F95"/>
    <w:pPr>
      <w:tabs>
        <w:tab w:val="center" w:pos="4513"/>
        <w:tab w:val="right" w:pos="9026"/>
      </w:tabs>
      <w:spacing w:after="0"/>
    </w:pPr>
  </w:style>
  <w:style w:type="character" w:customStyle="1" w:styleId="HeaderChar">
    <w:name w:val="Header Char"/>
    <w:basedOn w:val="DefaultParagraphFont"/>
    <w:link w:val="Header"/>
    <w:uiPriority w:val="99"/>
    <w:rsid w:val="004B3F95"/>
    <w:rPr>
      <w:color w:val="000000" w:themeColor="text1"/>
      <w:spacing w:val="2"/>
      <w:sz w:val="20"/>
    </w:rPr>
  </w:style>
  <w:style w:type="character" w:customStyle="1" w:styleId="Heading1Char">
    <w:name w:val="Heading 1 Char"/>
    <w:basedOn w:val="DefaultParagraphFont"/>
    <w:link w:val="Heading1"/>
    <w:rsid w:val="000A016A"/>
    <w:rPr>
      <w:rFonts w:asciiTheme="majorHAnsi" w:eastAsiaTheme="majorEastAsia" w:hAnsiTheme="majorHAnsi" w:cstheme="majorBidi"/>
      <w:b/>
      <w:color w:val="3844CA" w:themeColor="background2"/>
      <w:spacing w:val="-10"/>
      <w:sz w:val="44"/>
      <w:szCs w:val="32"/>
    </w:rPr>
  </w:style>
  <w:style w:type="character" w:customStyle="1" w:styleId="Heading2Char">
    <w:name w:val="Heading 2 Char"/>
    <w:basedOn w:val="DefaultParagraphFont"/>
    <w:link w:val="Heading2"/>
    <w:rsid w:val="000A016A"/>
    <w:rPr>
      <w:rFonts w:asciiTheme="majorHAnsi" w:eastAsiaTheme="majorEastAsia" w:hAnsiTheme="majorHAnsi" w:cstheme="majorBidi"/>
      <w:b/>
      <w:color w:val="3844CA" w:themeColor="accent1"/>
      <w:spacing w:val="-4"/>
      <w:sz w:val="32"/>
      <w:szCs w:val="26"/>
    </w:rPr>
  </w:style>
  <w:style w:type="character" w:customStyle="1" w:styleId="Heading3Char">
    <w:name w:val="Heading 3 Char"/>
    <w:basedOn w:val="DefaultParagraphFont"/>
    <w:link w:val="Heading3"/>
    <w:rsid w:val="00FA0B12"/>
    <w:rPr>
      <w:rFonts w:eastAsiaTheme="majorEastAsia" w:cstheme="majorBidi"/>
      <w:b/>
      <w:spacing w:val="4"/>
      <w:sz w:val="24"/>
      <w:szCs w:val="24"/>
    </w:rPr>
  </w:style>
  <w:style w:type="character" w:customStyle="1" w:styleId="Heading4Char">
    <w:name w:val="Heading 4 Char"/>
    <w:basedOn w:val="DefaultParagraphFont"/>
    <w:link w:val="Heading4"/>
    <w:rsid w:val="00DE1BCA"/>
    <w:rPr>
      <w:rFonts w:eastAsiaTheme="majorEastAsia" w:cstheme="majorBidi"/>
      <w:b/>
      <w:iCs/>
      <w:color w:val="000000" w:themeColor="text1"/>
      <w:sz w:val="20"/>
    </w:rPr>
  </w:style>
  <w:style w:type="paragraph" w:styleId="ListBullet">
    <w:name w:val="List Bullet"/>
    <w:basedOn w:val="Normal"/>
    <w:uiPriority w:val="5"/>
    <w:qFormat/>
    <w:rsid w:val="00FA0B12"/>
    <w:pPr>
      <w:numPr>
        <w:numId w:val="13"/>
      </w:numPr>
      <w:spacing w:after="60"/>
    </w:pPr>
  </w:style>
  <w:style w:type="paragraph" w:styleId="ListBullet2">
    <w:name w:val="List Bullet 2"/>
    <w:basedOn w:val="Normal"/>
    <w:uiPriority w:val="5"/>
    <w:qFormat/>
    <w:rsid w:val="000A016A"/>
    <w:pPr>
      <w:numPr>
        <w:ilvl w:val="1"/>
        <w:numId w:val="13"/>
      </w:numPr>
      <w:spacing w:after="60"/>
    </w:pPr>
  </w:style>
  <w:style w:type="paragraph" w:styleId="ListBullet3">
    <w:name w:val="List Bullet 3"/>
    <w:basedOn w:val="Normal"/>
    <w:uiPriority w:val="5"/>
    <w:qFormat/>
    <w:rsid w:val="000A016A"/>
    <w:pPr>
      <w:numPr>
        <w:ilvl w:val="2"/>
        <w:numId w:val="13"/>
      </w:numPr>
      <w:spacing w:after="60"/>
    </w:pPr>
  </w:style>
  <w:style w:type="paragraph" w:styleId="ListNumber">
    <w:name w:val="List Number"/>
    <w:basedOn w:val="Normal"/>
    <w:uiPriority w:val="6"/>
    <w:qFormat/>
    <w:rsid w:val="000A016A"/>
    <w:pPr>
      <w:numPr>
        <w:numId w:val="14"/>
      </w:numPr>
      <w:spacing w:after="60"/>
    </w:pPr>
  </w:style>
  <w:style w:type="paragraph" w:styleId="ListNumber2">
    <w:name w:val="List Number 2"/>
    <w:basedOn w:val="Normal"/>
    <w:uiPriority w:val="6"/>
    <w:qFormat/>
    <w:rsid w:val="000A016A"/>
    <w:pPr>
      <w:numPr>
        <w:ilvl w:val="1"/>
        <w:numId w:val="14"/>
      </w:numPr>
      <w:spacing w:after="60"/>
    </w:pPr>
  </w:style>
  <w:style w:type="paragraph" w:styleId="ListNumber3">
    <w:name w:val="List Number 3"/>
    <w:basedOn w:val="Normal"/>
    <w:uiPriority w:val="6"/>
    <w:qFormat/>
    <w:rsid w:val="000A016A"/>
    <w:pPr>
      <w:numPr>
        <w:ilvl w:val="2"/>
        <w:numId w:val="14"/>
      </w:numPr>
      <w:spacing w:after="60"/>
    </w:pPr>
  </w:style>
  <w:style w:type="paragraph" w:styleId="ListNumber4">
    <w:name w:val="List Number 4"/>
    <w:basedOn w:val="Normal"/>
    <w:uiPriority w:val="1"/>
    <w:semiHidden/>
    <w:qFormat/>
    <w:rsid w:val="00FE0FE2"/>
  </w:style>
  <w:style w:type="paragraph" w:customStyle="1" w:styleId="TableHeading">
    <w:name w:val="Table Heading"/>
    <w:uiPriority w:val="9"/>
    <w:qFormat/>
    <w:rsid w:val="00FA0B12"/>
    <w:pPr>
      <w:adjustRightInd w:val="0"/>
      <w:snapToGrid w:val="0"/>
      <w:spacing w:line="320" w:lineRule="atLeast"/>
    </w:pPr>
    <w:rPr>
      <w:b/>
      <w:color w:val="FFFFFF" w:themeColor="background1"/>
      <w:sz w:val="24"/>
    </w:rPr>
  </w:style>
  <w:style w:type="paragraph" w:customStyle="1" w:styleId="TableText">
    <w:name w:val="Table Text"/>
    <w:uiPriority w:val="8"/>
    <w:qFormat/>
    <w:rsid w:val="00FA0B12"/>
    <w:pPr>
      <w:adjustRightInd w:val="0"/>
      <w:snapToGrid w:val="0"/>
      <w:spacing w:before="60" w:after="60"/>
    </w:pPr>
  </w:style>
  <w:style w:type="character" w:customStyle="1" w:styleId="FootnoteTextChar">
    <w:name w:val="Footnote Text Char"/>
    <w:basedOn w:val="DefaultParagraphFont"/>
    <w:link w:val="FootnoteText"/>
    <w:uiPriority w:val="99"/>
    <w:rsid w:val="00913A5C"/>
    <w:rPr>
      <w:rFonts w:cstheme="minorBidi"/>
      <w:sz w:val="16"/>
    </w:rPr>
  </w:style>
  <w:style w:type="character" w:styleId="FootnoteReference">
    <w:name w:val="footnote reference"/>
    <w:basedOn w:val="DefaultParagraphFont"/>
    <w:uiPriority w:val="99"/>
    <w:rsid w:val="00ED33BC"/>
    <w:rPr>
      <w:sz w:val="20"/>
      <w:vertAlign w:val="superscript"/>
    </w:rPr>
  </w:style>
  <w:style w:type="paragraph" w:styleId="TOC2">
    <w:name w:val="toc 2"/>
    <w:basedOn w:val="TOC1"/>
    <w:next w:val="Normal"/>
    <w:uiPriority w:val="39"/>
    <w:semiHidden/>
    <w:rsid w:val="00304554"/>
    <w:pPr>
      <w:spacing w:after="60" w:line="280" w:lineRule="atLeast"/>
    </w:pPr>
    <w:rPr>
      <w:rFonts w:ascii="Inter SemiBold" w:hAnsi="Inter SemiBold"/>
      <w:b w:val="0"/>
      <w:color w:val="000000" w:themeColor="text1"/>
      <w:sz w:val="20"/>
    </w:rPr>
  </w:style>
  <w:style w:type="paragraph" w:styleId="TOC1">
    <w:name w:val="toc 1"/>
    <w:basedOn w:val="Heading2"/>
    <w:next w:val="Normal"/>
    <w:uiPriority w:val="39"/>
    <w:semiHidden/>
    <w:rsid w:val="00304554"/>
    <w:pPr>
      <w:tabs>
        <w:tab w:val="right" w:leader="dot" w:pos="9639"/>
      </w:tabs>
    </w:pPr>
  </w:style>
  <w:style w:type="paragraph" w:styleId="TOC3">
    <w:name w:val="toc 3"/>
    <w:basedOn w:val="TOC2"/>
    <w:next w:val="Normal"/>
    <w:uiPriority w:val="39"/>
    <w:semiHidden/>
    <w:rsid w:val="00304554"/>
    <w:pPr>
      <w:spacing w:after="136"/>
      <w:ind w:left="284"/>
    </w:pPr>
    <w:rPr>
      <w:rFonts w:asciiTheme="minorHAnsi" w:hAnsiTheme="minorHAnsi"/>
    </w:rPr>
  </w:style>
  <w:style w:type="paragraph" w:styleId="TOC4">
    <w:name w:val="toc 4"/>
    <w:basedOn w:val="Normal"/>
    <w:next w:val="Normal"/>
    <w:autoRedefine/>
    <w:uiPriority w:val="39"/>
    <w:semiHidden/>
    <w:rsid w:val="0097102F"/>
    <w:pPr>
      <w:tabs>
        <w:tab w:val="left" w:pos="1418"/>
        <w:tab w:val="right" w:leader="dot" w:pos="9628"/>
      </w:tabs>
      <w:spacing w:after="100"/>
      <w:ind w:left="601"/>
    </w:pPr>
  </w:style>
  <w:style w:type="paragraph" w:styleId="TOC5">
    <w:name w:val="toc 5"/>
    <w:basedOn w:val="Normal"/>
    <w:next w:val="Normal"/>
    <w:autoRedefine/>
    <w:uiPriority w:val="39"/>
    <w:semiHidden/>
    <w:rsid w:val="00FC03D6"/>
    <w:pPr>
      <w:spacing w:after="100"/>
      <w:ind w:left="800"/>
    </w:pPr>
  </w:style>
  <w:style w:type="paragraph" w:styleId="TOC6">
    <w:name w:val="toc 6"/>
    <w:basedOn w:val="Normal"/>
    <w:next w:val="Normal"/>
    <w:autoRedefine/>
    <w:uiPriority w:val="39"/>
    <w:semiHidden/>
    <w:rsid w:val="00FC03D6"/>
    <w:pPr>
      <w:spacing w:after="100"/>
      <w:ind w:left="1000"/>
    </w:pPr>
  </w:style>
  <w:style w:type="paragraph" w:styleId="TOC7">
    <w:name w:val="toc 7"/>
    <w:basedOn w:val="Normal"/>
    <w:next w:val="Normal"/>
    <w:autoRedefine/>
    <w:uiPriority w:val="39"/>
    <w:semiHidden/>
    <w:rsid w:val="00FC03D6"/>
    <w:pPr>
      <w:spacing w:after="100"/>
      <w:ind w:left="1200"/>
    </w:pPr>
  </w:style>
  <w:style w:type="paragraph" w:styleId="TOC8">
    <w:name w:val="toc 8"/>
    <w:basedOn w:val="Normal"/>
    <w:next w:val="Normal"/>
    <w:autoRedefine/>
    <w:uiPriority w:val="39"/>
    <w:semiHidden/>
    <w:rsid w:val="00FC03D6"/>
    <w:pPr>
      <w:spacing w:after="100"/>
      <w:ind w:left="1400"/>
    </w:pPr>
  </w:style>
  <w:style w:type="character" w:styleId="Hyperlink">
    <w:name w:val="Hyperlink"/>
    <w:basedOn w:val="DefaultParagraphFont"/>
    <w:uiPriority w:val="99"/>
    <w:rsid w:val="000A016A"/>
    <w:rPr>
      <w:b w:val="0"/>
      <w:color w:val="3844CA"/>
      <w:sz w:val="20"/>
      <w:u w:val="single"/>
    </w:rPr>
  </w:style>
  <w:style w:type="paragraph" w:styleId="Caption">
    <w:name w:val="caption"/>
    <w:next w:val="Normal"/>
    <w:link w:val="CaptionChar"/>
    <w:uiPriority w:val="99"/>
    <w:qFormat/>
    <w:rsid w:val="00072635"/>
    <w:pPr>
      <w:keepNext/>
    </w:pPr>
    <w:rPr>
      <w:b/>
      <w:iCs/>
      <w:szCs w:val="18"/>
    </w:rPr>
  </w:style>
  <w:style w:type="paragraph" w:styleId="EndnoteText">
    <w:name w:val="endnote text"/>
    <w:basedOn w:val="ContactName"/>
    <w:link w:val="EndnoteTextChar"/>
    <w:uiPriority w:val="99"/>
    <w:qFormat/>
    <w:rsid w:val="00FA0B12"/>
    <w:pPr>
      <w:spacing w:line="200" w:lineRule="atLeast"/>
    </w:pPr>
    <w:rPr>
      <w:rFonts w:asciiTheme="minorHAnsi" w:hAnsiTheme="minorHAnsi"/>
      <w:b w:val="0"/>
      <w:color w:val="000000" w:themeColor="text1"/>
      <w:sz w:val="16"/>
      <w:lang w:val="en-AU"/>
    </w:rPr>
  </w:style>
  <w:style w:type="character" w:customStyle="1" w:styleId="EndnoteTextChar">
    <w:name w:val="Endnote Text Char"/>
    <w:basedOn w:val="DefaultParagraphFont"/>
    <w:link w:val="EndnoteText"/>
    <w:uiPriority w:val="99"/>
    <w:rsid w:val="00FA0B12"/>
    <w:rPr>
      <w:sz w:val="16"/>
      <w:szCs w:val="14"/>
    </w:rPr>
  </w:style>
  <w:style w:type="character" w:styleId="EndnoteReference">
    <w:name w:val="endnote reference"/>
    <w:basedOn w:val="DefaultParagraphFont"/>
    <w:uiPriority w:val="99"/>
    <w:semiHidden/>
    <w:unhideWhenUsed/>
    <w:rsid w:val="00FE03DF"/>
    <w:rPr>
      <w:vertAlign w:val="superscript"/>
    </w:rPr>
  </w:style>
  <w:style w:type="paragraph" w:styleId="TOCHeading">
    <w:name w:val="TOC Heading"/>
    <w:basedOn w:val="Heading1"/>
    <w:next w:val="Normal"/>
    <w:uiPriority w:val="39"/>
    <w:semiHidden/>
    <w:qFormat/>
    <w:rsid w:val="007E0023"/>
    <w:pPr>
      <w:outlineLvl w:val="9"/>
    </w:pPr>
  </w:style>
  <w:style w:type="paragraph" w:customStyle="1" w:styleId="IntroText">
    <w:name w:val="Intro Text"/>
    <w:basedOn w:val="Normal"/>
    <w:next w:val="Normal"/>
    <w:uiPriority w:val="3"/>
    <w:qFormat/>
    <w:rsid w:val="00467427"/>
    <w:pPr>
      <w:spacing w:after="160" w:line="320" w:lineRule="atLeast"/>
    </w:pPr>
    <w:rPr>
      <w:color w:val="3844CA" w:themeColor="accent1"/>
      <w:sz w:val="24"/>
    </w:rPr>
  </w:style>
  <w:style w:type="character" w:styleId="UnresolvedMention">
    <w:name w:val="Unresolved Mention"/>
    <w:basedOn w:val="DefaultParagraphFont"/>
    <w:uiPriority w:val="99"/>
    <w:semiHidden/>
    <w:unhideWhenUsed/>
    <w:rsid w:val="00747DB2"/>
    <w:rPr>
      <w:color w:val="605E5C"/>
      <w:shd w:val="clear" w:color="auto" w:fill="E1DFDD"/>
    </w:rPr>
  </w:style>
  <w:style w:type="character" w:styleId="PlaceholderText">
    <w:name w:val="Placeholder Text"/>
    <w:basedOn w:val="DefaultParagraphFont"/>
    <w:uiPriority w:val="99"/>
    <w:semiHidden/>
    <w:rsid w:val="00104F44"/>
    <w:rPr>
      <w:color w:val="808080"/>
    </w:rPr>
  </w:style>
  <w:style w:type="paragraph" w:customStyle="1" w:styleId="CoverFooter">
    <w:name w:val="Cover Footer"/>
    <w:basedOn w:val="Footer"/>
    <w:uiPriority w:val="99"/>
    <w:semiHidden/>
    <w:qFormat/>
    <w:rsid w:val="00185471"/>
    <w:rPr>
      <w:noProof/>
    </w:rPr>
  </w:style>
  <w:style w:type="paragraph" w:styleId="BalloonText">
    <w:name w:val="Balloon Text"/>
    <w:basedOn w:val="Normal"/>
    <w:link w:val="BalloonTextChar"/>
    <w:uiPriority w:val="99"/>
    <w:semiHidden/>
    <w:unhideWhenUsed/>
    <w:rsid w:val="00E31B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BFB"/>
    <w:rPr>
      <w:rFonts w:ascii="Segoe UI" w:hAnsi="Segoe UI" w:cs="Segoe UI"/>
      <w:color w:val="3844CA" w:themeColor="background2"/>
      <w:sz w:val="18"/>
      <w:szCs w:val="18"/>
    </w:rPr>
  </w:style>
  <w:style w:type="table" w:customStyle="1" w:styleId="LayoutGrid">
    <w:name w:val="LayoutGrid"/>
    <w:basedOn w:val="TableNormal"/>
    <w:uiPriority w:val="99"/>
    <w:rsid w:val="007B4F91"/>
    <w:tblPr>
      <w:tblCellMar>
        <w:left w:w="0" w:type="dxa"/>
        <w:right w:w="0" w:type="dxa"/>
      </w:tblCellMar>
    </w:tblPr>
  </w:style>
  <w:style w:type="paragraph" w:customStyle="1" w:styleId="Label">
    <w:name w:val="Label"/>
    <w:basedOn w:val="Normal"/>
    <w:link w:val="LabelChar"/>
    <w:uiPriority w:val="99"/>
    <w:qFormat/>
    <w:rsid w:val="00380313"/>
    <w:rPr>
      <w:b/>
    </w:rPr>
  </w:style>
  <w:style w:type="paragraph" w:customStyle="1" w:styleId="Details">
    <w:name w:val="Details"/>
    <w:basedOn w:val="Label"/>
    <w:uiPriority w:val="99"/>
    <w:qFormat/>
    <w:rsid w:val="004D1864"/>
    <w:rPr>
      <w:b w:val="0"/>
    </w:rPr>
  </w:style>
  <w:style w:type="paragraph" w:customStyle="1" w:styleId="CoverHeadingSmall">
    <w:name w:val="Cover Heading Small"/>
    <w:basedOn w:val="Normal"/>
    <w:uiPriority w:val="3"/>
    <w:semiHidden/>
    <w:qFormat/>
    <w:rsid w:val="00E54384"/>
    <w:pPr>
      <w:tabs>
        <w:tab w:val="center" w:pos="4513"/>
        <w:tab w:val="right" w:pos="9026"/>
      </w:tabs>
      <w:spacing w:after="0" w:line="780" w:lineRule="exact"/>
    </w:pPr>
    <w:rPr>
      <w:rFonts w:asciiTheme="majorHAnsi" w:hAnsiTheme="majorHAnsi"/>
      <w:b/>
      <w:color w:val="3844CA" w:themeColor="background2"/>
      <w:spacing w:val="-4"/>
      <w:sz w:val="74"/>
    </w:rPr>
  </w:style>
  <w:style w:type="table" w:styleId="TableGrid1">
    <w:name w:val="Table Grid 1"/>
    <w:basedOn w:val="TableNormal"/>
    <w:uiPriority w:val="99"/>
    <w:semiHidden/>
    <w:unhideWhenUsed/>
    <w:rsid w:val="000D460A"/>
    <w:pPr>
      <w:adjustRightInd w:val="0"/>
      <w:snapToGrid w:val="0"/>
      <w:spacing w:after="240" w:line="240" w:lineRule="atLeast"/>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ATOBullets">
    <w:name w:val="ATO Bullets"/>
    <w:uiPriority w:val="99"/>
    <w:rsid w:val="00FF0222"/>
    <w:pPr>
      <w:numPr>
        <w:numId w:val="3"/>
      </w:numPr>
    </w:pPr>
  </w:style>
  <w:style w:type="paragraph" w:customStyle="1" w:styleId="TableBullet">
    <w:name w:val="Table Bullet"/>
    <w:basedOn w:val="TableText"/>
    <w:uiPriority w:val="11"/>
    <w:qFormat/>
    <w:rsid w:val="000A016A"/>
    <w:pPr>
      <w:numPr>
        <w:numId w:val="15"/>
      </w:numPr>
    </w:pPr>
    <w:rPr>
      <w:rFonts w:eastAsia="Calibri"/>
      <w:color w:val="000000"/>
    </w:rPr>
  </w:style>
  <w:style w:type="character" w:customStyle="1" w:styleId="Heading5Char">
    <w:name w:val="Heading 5 Char"/>
    <w:basedOn w:val="DefaultParagraphFont"/>
    <w:link w:val="Heading5"/>
    <w:uiPriority w:val="1"/>
    <w:semiHidden/>
    <w:rsid w:val="006D4DB1"/>
    <w:rPr>
      <w:rFonts w:asciiTheme="majorHAnsi" w:eastAsiaTheme="majorEastAsia" w:hAnsiTheme="majorHAnsi" w:cstheme="majorBidi"/>
      <w:color w:val="000000" w:themeColor="text1"/>
      <w:spacing w:val="2"/>
      <w:sz w:val="24"/>
      <w:u w:val="single"/>
    </w:rPr>
  </w:style>
  <w:style w:type="numbering" w:customStyle="1" w:styleId="HaldonHeadings">
    <w:name w:val="HaldonHeadings"/>
    <w:uiPriority w:val="99"/>
    <w:rsid w:val="001A6BB7"/>
    <w:pPr>
      <w:numPr>
        <w:numId w:val="1"/>
      </w:numPr>
    </w:pPr>
  </w:style>
  <w:style w:type="paragraph" w:customStyle="1" w:styleId="Heading5Numbered">
    <w:name w:val="Heading 5 Numbered"/>
    <w:basedOn w:val="Heading5"/>
    <w:uiPriority w:val="2"/>
    <w:semiHidden/>
    <w:qFormat/>
    <w:rsid w:val="001A6BB7"/>
    <w:pPr>
      <w:numPr>
        <w:ilvl w:val="4"/>
        <w:numId w:val="2"/>
      </w:numPr>
    </w:pPr>
  </w:style>
  <w:style w:type="paragraph" w:customStyle="1" w:styleId="Picture">
    <w:name w:val="Picture"/>
    <w:basedOn w:val="Normal"/>
    <w:uiPriority w:val="2"/>
    <w:semiHidden/>
    <w:qFormat/>
    <w:rsid w:val="00941202"/>
    <w:pPr>
      <w:spacing w:before="100" w:after="100"/>
      <w:jc w:val="center"/>
    </w:pPr>
    <w:rPr>
      <w:lang w:val="es-ES"/>
    </w:rPr>
  </w:style>
  <w:style w:type="paragraph" w:customStyle="1" w:styleId="Footnote">
    <w:name w:val="Footnote"/>
    <w:basedOn w:val="Caption"/>
    <w:link w:val="FootnoteChar"/>
    <w:uiPriority w:val="99"/>
    <w:qFormat/>
    <w:rsid w:val="00080E87"/>
    <w:pPr>
      <w:spacing w:after="100" w:line="240" w:lineRule="auto"/>
    </w:pPr>
    <w:rPr>
      <w:rFonts w:ascii="Inter SemiBold" w:hAnsi="Inter SemiBold"/>
      <w:sz w:val="16"/>
    </w:rPr>
  </w:style>
  <w:style w:type="paragraph" w:customStyle="1" w:styleId="FigureCaption">
    <w:name w:val="Figure Caption"/>
    <w:basedOn w:val="Footnote"/>
    <w:uiPriority w:val="3"/>
    <w:semiHidden/>
    <w:qFormat/>
    <w:rsid w:val="003F45FB"/>
    <w:rPr>
      <w:sz w:val="20"/>
    </w:rPr>
  </w:style>
  <w:style w:type="table" w:customStyle="1" w:styleId="TableATO">
    <w:name w:val="Table_ATO"/>
    <w:basedOn w:val="TableNormal"/>
    <w:uiPriority w:val="99"/>
    <w:rsid w:val="00AC6870"/>
    <w:tblPr>
      <w:tblStyleRowBandSize w:val="1"/>
      <w:tblBorders>
        <w:bottom w:val="single" w:sz="4" w:space="0" w:color="000000" w:themeColor="text1"/>
        <w:insideH w:val="single" w:sz="4" w:space="0" w:color="000000" w:themeColor="text1"/>
      </w:tblBorders>
      <w:tblCellMar>
        <w:top w:w="113" w:type="dxa"/>
        <w:left w:w="85" w:type="dxa"/>
        <w:bottom w:w="113" w:type="dxa"/>
        <w:right w:w="85" w:type="dxa"/>
      </w:tblCellMar>
    </w:tblPr>
    <w:trPr>
      <w:cantSplit/>
    </w:trPr>
    <w:tblStylePr w:type="firstRow">
      <w:pPr>
        <w:jc w:val="left"/>
      </w:pPr>
      <w:rPr>
        <w:rFonts w:asciiTheme="minorHAnsi" w:hAnsiTheme="minorHAnsi"/>
        <w:b/>
        <w:color w:val="FFFFFF"/>
        <w:sz w:val="24"/>
      </w:rPr>
      <w:tblPr/>
      <w:trPr>
        <w:cantSplit w:val="0"/>
        <w:tblHeader/>
      </w:trPr>
      <w:tcPr>
        <w:shd w:val="clear" w:color="auto" w:fill="3844CA" w:themeFill="accent1"/>
      </w:tcPr>
    </w:tblStylePr>
    <w:tblStylePr w:type="lastRow">
      <w:rPr>
        <w:b/>
        <w:color w:val="000000" w:themeColor="text1"/>
      </w:rPr>
      <w:tblPr/>
      <w:tcPr>
        <w:tcBorders>
          <w:bottom w:val="single" w:sz="4" w:space="0" w:color="000000" w:themeColor="text1"/>
        </w:tcBorders>
      </w:tcPr>
    </w:tblStylePr>
    <w:tblStylePr w:type="firstCol">
      <w:rPr>
        <w:b/>
        <w:color w:val="000000" w:themeColor="text1"/>
      </w:rPr>
    </w:tblStylePr>
    <w:tblStylePr w:type="band2Horz">
      <w:tblPr/>
      <w:tcPr>
        <w:shd w:val="clear" w:color="auto" w:fill="F5FBFE"/>
      </w:tcPr>
    </w:tblStylePr>
  </w:style>
  <w:style w:type="character" w:customStyle="1" w:styleId="Heading6Char">
    <w:name w:val="Heading 6 Char"/>
    <w:basedOn w:val="DefaultParagraphFont"/>
    <w:link w:val="Heading6"/>
    <w:uiPriority w:val="2"/>
    <w:semiHidden/>
    <w:rsid w:val="00CE68C7"/>
    <w:rPr>
      <w:rFonts w:asciiTheme="majorHAnsi" w:eastAsiaTheme="majorEastAsia" w:hAnsiTheme="majorHAnsi" w:cstheme="majorBidi"/>
      <w:i/>
      <w:sz w:val="24"/>
    </w:rPr>
  </w:style>
  <w:style w:type="paragraph" w:customStyle="1" w:styleId="Heading6Numbered">
    <w:name w:val="Heading 6 Numbered"/>
    <w:basedOn w:val="Heading6"/>
    <w:uiPriority w:val="2"/>
    <w:semiHidden/>
    <w:qFormat/>
    <w:rsid w:val="001A6BB7"/>
    <w:pPr>
      <w:numPr>
        <w:ilvl w:val="5"/>
        <w:numId w:val="2"/>
      </w:numPr>
      <w:spacing w:before="240"/>
      <w:ind w:left="1077" w:hanging="198"/>
    </w:pPr>
    <w:rPr>
      <w:noProof/>
    </w:rPr>
  </w:style>
  <w:style w:type="paragraph" w:styleId="TableofFigures">
    <w:name w:val="table of figures"/>
    <w:basedOn w:val="Normal"/>
    <w:next w:val="Normal"/>
    <w:uiPriority w:val="99"/>
    <w:semiHidden/>
    <w:rsid w:val="0090275D"/>
    <w:pPr>
      <w:spacing w:after="0"/>
    </w:pPr>
  </w:style>
  <w:style w:type="paragraph" w:styleId="NoSpacing">
    <w:name w:val="No Spacing"/>
    <w:basedOn w:val="Normal"/>
    <w:uiPriority w:val="3"/>
    <w:rsid w:val="002F5E52"/>
    <w:pPr>
      <w:spacing w:after="0"/>
    </w:pPr>
  </w:style>
  <w:style w:type="numbering" w:customStyle="1" w:styleId="ATONumbers">
    <w:name w:val="ATO Numbers"/>
    <w:uiPriority w:val="99"/>
    <w:rsid w:val="00467427"/>
    <w:pPr>
      <w:numPr>
        <w:numId w:val="6"/>
      </w:numPr>
    </w:pPr>
  </w:style>
  <w:style w:type="character" w:customStyle="1" w:styleId="CaptionChar">
    <w:name w:val="Caption Char"/>
    <w:basedOn w:val="DefaultParagraphFont"/>
    <w:link w:val="Caption"/>
    <w:uiPriority w:val="99"/>
    <w:rsid w:val="00072635"/>
    <w:rPr>
      <w:b/>
      <w:iCs/>
      <w:color w:val="000000" w:themeColor="text1"/>
      <w:sz w:val="20"/>
      <w:szCs w:val="18"/>
    </w:rPr>
  </w:style>
  <w:style w:type="character" w:customStyle="1" w:styleId="FootnoteChar">
    <w:name w:val="Footnote Char"/>
    <w:basedOn w:val="CaptionChar"/>
    <w:link w:val="Footnote"/>
    <w:uiPriority w:val="99"/>
    <w:rsid w:val="00080E87"/>
    <w:rPr>
      <w:rFonts w:ascii="Inter SemiBold" w:hAnsi="Inter SemiBold"/>
      <w:b/>
      <w:iCs/>
      <w:color w:val="000000" w:themeColor="text1"/>
      <w:sz w:val="16"/>
      <w:szCs w:val="18"/>
    </w:rPr>
  </w:style>
  <w:style w:type="numbering" w:customStyle="1" w:styleId="ATOHeadings">
    <w:name w:val="ATO Headings"/>
    <w:uiPriority w:val="99"/>
    <w:rsid w:val="006851E0"/>
    <w:pPr>
      <w:numPr>
        <w:numId w:val="4"/>
      </w:numPr>
    </w:pPr>
  </w:style>
  <w:style w:type="numbering" w:customStyle="1" w:styleId="ATOIntroBullets">
    <w:name w:val="ATO Intro Bullets"/>
    <w:uiPriority w:val="99"/>
    <w:rsid w:val="00FF0222"/>
    <w:pPr>
      <w:numPr>
        <w:numId w:val="5"/>
      </w:numPr>
    </w:pPr>
  </w:style>
  <w:style w:type="paragraph" w:customStyle="1" w:styleId="IntroBullet1">
    <w:name w:val="Intro Bullet 1"/>
    <w:basedOn w:val="ListBullet"/>
    <w:uiPriority w:val="4"/>
    <w:qFormat/>
    <w:rsid w:val="00FA0B12"/>
    <w:pPr>
      <w:numPr>
        <w:numId w:val="12"/>
      </w:numPr>
      <w:spacing w:after="80" w:line="320" w:lineRule="atLeast"/>
    </w:pPr>
    <w:rPr>
      <w:color w:val="3844CA" w:themeColor="background2"/>
      <w:sz w:val="24"/>
    </w:rPr>
  </w:style>
  <w:style w:type="paragraph" w:customStyle="1" w:styleId="IntroBullet2">
    <w:name w:val="Intro Bullet 2"/>
    <w:basedOn w:val="ListBullet2"/>
    <w:uiPriority w:val="4"/>
    <w:qFormat/>
    <w:rsid w:val="000A016A"/>
    <w:pPr>
      <w:numPr>
        <w:numId w:val="12"/>
      </w:numPr>
      <w:spacing w:after="80" w:line="320" w:lineRule="atLeast"/>
    </w:pPr>
    <w:rPr>
      <w:color w:val="3844CA" w:themeColor="background2"/>
      <w:sz w:val="24"/>
    </w:rPr>
  </w:style>
  <w:style w:type="paragraph" w:customStyle="1" w:styleId="IntroBullet3">
    <w:name w:val="Intro Bullet 3"/>
    <w:basedOn w:val="ListBullet3"/>
    <w:uiPriority w:val="4"/>
    <w:qFormat/>
    <w:rsid w:val="000A016A"/>
    <w:pPr>
      <w:numPr>
        <w:numId w:val="12"/>
      </w:numPr>
      <w:spacing w:after="80" w:line="320" w:lineRule="atLeast"/>
    </w:pPr>
    <w:rPr>
      <w:color w:val="3844CA" w:themeColor="background2"/>
      <w:sz w:val="24"/>
    </w:rPr>
  </w:style>
  <w:style w:type="paragraph" w:styleId="Quote">
    <w:name w:val="Quote"/>
    <w:basedOn w:val="Normal"/>
    <w:next w:val="Normal"/>
    <w:link w:val="QuoteChar"/>
    <w:uiPriority w:val="7"/>
    <w:rsid w:val="00467427"/>
    <w:pPr>
      <w:ind w:left="720"/>
    </w:pPr>
    <w:rPr>
      <w:iCs/>
      <w:color w:val="404040" w:themeColor="text1" w:themeTint="BF"/>
    </w:rPr>
  </w:style>
  <w:style w:type="character" w:customStyle="1" w:styleId="QuoteChar">
    <w:name w:val="Quote Char"/>
    <w:basedOn w:val="DefaultParagraphFont"/>
    <w:link w:val="Quote"/>
    <w:uiPriority w:val="7"/>
    <w:rsid w:val="00467427"/>
    <w:rPr>
      <w:iCs/>
      <w:color w:val="404040" w:themeColor="text1" w:themeTint="BF"/>
      <w:spacing w:val="2"/>
      <w:sz w:val="20"/>
    </w:rPr>
  </w:style>
  <w:style w:type="character" w:customStyle="1" w:styleId="LabelChar">
    <w:name w:val="Label Char"/>
    <w:basedOn w:val="DefaultParagraphFont"/>
    <w:link w:val="Label"/>
    <w:uiPriority w:val="99"/>
    <w:rsid w:val="006D4DB1"/>
    <w:rPr>
      <w:b/>
      <w:color w:val="000000" w:themeColor="text1"/>
      <w:spacing w:val="2"/>
      <w:sz w:val="20"/>
    </w:rPr>
  </w:style>
  <w:style w:type="paragraph" w:styleId="ListParagraph">
    <w:name w:val="List Paragraph"/>
    <w:basedOn w:val="Normal"/>
    <w:uiPriority w:val="34"/>
    <w:qFormat/>
    <w:rsid w:val="007301C8"/>
    <w:pPr>
      <w:numPr>
        <w:ilvl w:val="2"/>
        <w:numId w:val="16"/>
      </w:numPr>
      <w:contextualSpacing/>
    </w:pPr>
  </w:style>
  <w:style w:type="paragraph" w:customStyle="1" w:styleId="Heading1Numbered">
    <w:name w:val="Heading 1 Numbered"/>
    <w:basedOn w:val="Heading1"/>
    <w:next w:val="Normal"/>
    <w:uiPriority w:val="1"/>
    <w:qFormat/>
    <w:rsid w:val="006851E0"/>
    <w:pPr>
      <w:numPr>
        <w:numId w:val="17"/>
      </w:numPr>
    </w:pPr>
  </w:style>
  <w:style w:type="paragraph" w:customStyle="1" w:styleId="Heading2Numbered">
    <w:name w:val="Heading 2 Numbered"/>
    <w:basedOn w:val="Heading2"/>
    <w:next w:val="Normal"/>
    <w:uiPriority w:val="1"/>
    <w:qFormat/>
    <w:rsid w:val="006851E0"/>
    <w:pPr>
      <w:numPr>
        <w:ilvl w:val="1"/>
        <w:numId w:val="17"/>
      </w:numPr>
    </w:pPr>
  </w:style>
  <w:style w:type="paragraph" w:customStyle="1" w:styleId="Heading3Numbered">
    <w:name w:val="Heading 3 Numbered"/>
    <w:basedOn w:val="Heading3"/>
    <w:next w:val="Normal"/>
    <w:uiPriority w:val="1"/>
    <w:qFormat/>
    <w:rsid w:val="006851E0"/>
    <w:pPr>
      <w:numPr>
        <w:ilvl w:val="2"/>
        <w:numId w:val="17"/>
      </w:numPr>
    </w:pPr>
  </w:style>
  <w:style w:type="paragraph" w:customStyle="1" w:styleId="Heading4Numbered">
    <w:name w:val="Heading 4 Numbered"/>
    <w:basedOn w:val="Heading4"/>
    <w:next w:val="Normal"/>
    <w:uiPriority w:val="1"/>
    <w:qFormat/>
    <w:rsid w:val="006851E0"/>
    <w:pPr>
      <w:numPr>
        <w:ilvl w:val="3"/>
        <w:numId w:val="17"/>
      </w:numPr>
    </w:pPr>
  </w:style>
  <w:style w:type="paragraph" w:customStyle="1" w:styleId="Coverheading">
    <w:name w:val="Cover heading"/>
    <w:basedOn w:val="Heading1"/>
    <w:uiPriority w:val="2"/>
    <w:qFormat/>
    <w:rsid w:val="00246328"/>
    <w:pPr>
      <w:spacing w:line="240" w:lineRule="auto"/>
    </w:pPr>
    <w:rPr>
      <w:sz w:val="72"/>
    </w:rPr>
  </w:style>
  <w:style w:type="character" w:styleId="PageNumber">
    <w:name w:val="page number"/>
    <w:basedOn w:val="DefaultParagraphFont"/>
    <w:uiPriority w:val="99"/>
    <w:rsid w:val="00786E74"/>
    <w:rPr>
      <w:rFonts w:cs="Times New Roman"/>
    </w:rPr>
  </w:style>
  <w:style w:type="paragraph" w:customStyle="1" w:styleId="FormSection">
    <w:name w:val="Form Section"/>
    <w:basedOn w:val="Heading2"/>
    <w:uiPriority w:val="2"/>
    <w:qFormat/>
    <w:rsid w:val="00ED33BC"/>
    <w:pPr>
      <w:pBdr>
        <w:top w:val="single" w:sz="4" w:space="1" w:color="auto"/>
      </w:pBdr>
      <w:spacing w:before="240" w:after="240"/>
    </w:pPr>
    <w:rPr>
      <w:sz w:val="28"/>
      <w:szCs w:val="28"/>
    </w:rPr>
  </w:style>
  <w:style w:type="paragraph" w:customStyle="1" w:styleId="Formbodytab">
    <w:name w:val="Form body tab"/>
    <w:basedOn w:val="Normal"/>
    <w:uiPriority w:val="2"/>
    <w:qFormat/>
    <w:rsid w:val="00D90E96"/>
    <w:pPr>
      <w:tabs>
        <w:tab w:val="right" w:leader="underscore" w:pos="9923"/>
      </w:tabs>
    </w:pPr>
  </w:style>
  <w:style w:type="paragraph" w:customStyle="1" w:styleId="Formbody">
    <w:name w:val="Form body"/>
    <w:basedOn w:val="Formbodytab"/>
    <w:uiPriority w:val="2"/>
    <w:qFormat/>
    <w:rsid w:val="00D90E96"/>
    <w:pPr>
      <w:tabs>
        <w:tab w:val="clear" w:pos="9923"/>
      </w:tabs>
    </w:pPr>
  </w:style>
  <w:style w:type="paragraph" w:customStyle="1" w:styleId="Formbodysmall">
    <w:name w:val="Form body small"/>
    <w:basedOn w:val="Formbody"/>
    <w:uiPriority w:val="2"/>
    <w:qFormat/>
    <w:rsid w:val="00ED33BC"/>
    <w:pPr>
      <w:spacing w:line="240" w:lineRule="auto"/>
    </w:pPr>
    <w:rPr>
      <w:i/>
      <w:iCs/>
      <w:sz w:val="16"/>
    </w:rPr>
  </w:style>
  <w:style w:type="paragraph" w:customStyle="1" w:styleId="Fullunderline">
    <w:name w:val="Full underline"/>
    <w:basedOn w:val="Formbodytab"/>
    <w:uiPriority w:val="2"/>
    <w:qFormat/>
    <w:rsid w:val="00145404"/>
    <w:pPr>
      <w:ind w:left="-2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02505">
      <w:bodyDiv w:val="1"/>
      <w:marLeft w:val="0"/>
      <w:marRight w:val="0"/>
      <w:marTop w:val="0"/>
      <w:marBottom w:val="0"/>
      <w:divBdr>
        <w:top w:val="none" w:sz="0" w:space="0" w:color="auto"/>
        <w:left w:val="none" w:sz="0" w:space="0" w:color="auto"/>
        <w:bottom w:val="none" w:sz="0" w:space="0" w:color="auto"/>
        <w:right w:val="none" w:sz="0" w:space="0" w:color="auto"/>
      </w:divBdr>
    </w:div>
    <w:div w:id="172467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jp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rod.atonet.gov.au\apps_dfs_root$\Applications\Packages\TEMPLATES\Office\ATO%20Templates\Basic%20A4%20portrait.dotx" TargetMode="External"/></Relationships>
</file>

<file path=word/theme/theme1.xml><?xml version="1.0" encoding="utf-8"?>
<a:theme xmlns:a="http://schemas.openxmlformats.org/drawingml/2006/main" name="Office Theme">
  <a:themeElements>
    <a:clrScheme name="ATO Colours">
      <a:dk1>
        <a:sysClr val="windowText" lastClr="000000"/>
      </a:dk1>
      <a:lt1>
        <a:sysClr val="window" lastClr="FFFFFF"/>
      </a:lt1>
      <a:dk2>
        <a:srgbClr val="3C3D41"/>
      </a:dk2>
      <a:lt2>
        <a:srgbClr val="3844CA"/>
      </a:lt2>
      <a:accent1>
        <a:srgbClr val="3844CA"/>
      </a:accent1>
      <a:accent2>
        <a:srgbClr val="CEEBF8"/>
      </a:accent2>
      <a:accent3>
        <a:srgbClr val="150925"/>
      </a:accent3>
      <a:accent4>
        <a:srgbClr val="9D469A"/>
      </a:accent4>
      <a:accent5>
        <a:srgbClr val="169985"/>
      </a:accent5>
      <a:accent6>
        <a:srgbClr val="0091E6"/>
      </a:accent6>
      <a:hlink>
        <a:srgbClr val="3844CA"/>
      </a:hlink>
      <a:folHlink>
        <a:srgbClr val="169985"/>
      </a:folHlink>
    </a:clrScheme>
    <a:fontScheme name="ATO Fonts">
      <a:majorFont>
        <a:latin typeface="Poppins"/>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cfc0c0-4f72-4409-b478-e2bdab037bd0">
      <Terms xmlns="http://schemas.microsoft.com/office/infopath/2007/PartnerControls"/>
    </lcf76f155ced4ddcb4097134ff3c332f>
    <TaxCatchAll xmlns="cf4c57bc-49ba-410e-a1fb-2655bc3ca1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C11CE3F2526B4CB19983E9F519E1D5" ma:contentTypeVersion="10" ma:contentTypeDescription="Create a new document." ma:contentTypeScope="" ma:versionID="4a2228c4ec616fabc841f903cf3046f3">
  <xsd:schema xmlns:xsd="http://www.w3.org/2001/XMLSchema" xmlns:xs="http://www.w3.org/2001/XMLSchema" xmlns:p="http://schemas.microsoft.com/office/2006/metadata/properties" xmlns:ns2="b2cfc0c0-4f72-4409-b478-e2bdab037bd0" xmlns:ns3="cf4c57bc-49ba-410e-a1fb-2655bc3ca1ab" targetNamespace="http://schemas.microsoft.com/office/2006/metadata/properties" ma:root="true" ma:fieldsID="a35ef45c38da521547f328d3395a20cf" ns2:_="" ns3:_="">
    <xsd:import namespace="b2cfc0c0-4f72-4409-b478-e2bdab037bd0"/>
    <xsd:import namespace="cf4c57bc-49ba-410e-a1fb-2655bc3ca1a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cfc0c0-4f72-4409-b478-e2bdab037b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d3d766a-8f2e-4101-b24c-d4a22e3f1d1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4c57bc-49ba-410e-a1fb-2655bc3ca1a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b690fe1-6846-41f5-8861-e6eb17ee6409}" ma:internalName="TaxCatchAll" ma:showField="CatchAllData" ma:web="cf4c57bc-49ba-410e-a1fb-2655bc3ca1a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{3A7A7CA0-1FA1-4C1B-B0E2-88FF7AF236CA}</b:Guid>
    <b:RefOrder>1</b:RefOrder>
  </b:Source>
</b:Sources>
</file>

<file path=customXml/itemProps1.xml><?xml version="1.0" encoding="utf-8"?>
<ds:datastoreItem xmlns:ds="http://schemas.openxmlformats.org/officeDocument/2006/customXml" ds:itemID="{BD4265C0-1CD1-455E-B8B7-577510577EE3}">
  <ds:schemaRefs>
    <ds:schemaRef ds:uri="http://schemas.microsoft.com/office/2006/metadata/properties"/>
    <ds:schemaRef ds:uri="http://schemas.microsoft.com/office/infopath/2007/PartnerControls"/>
    <ds:schemaRef ds:uri="b2cfc0c0-4f72-4409-b478-e2bdab037bd0"/>
    <ds:schemaRef ds:uri="cf4c57bc-49ba-410e-a1fb-2655bc3ca1ab"/>
  </ds:schemaRefs>
</ds:datastoreItem>
</file>

<file path=customXml/itemProps2.xml><?xml version="1.0" encoding="utf-8"?>
<ds:datastoreItem xmlns:ds="http://schemas.openxmlformats.org/officeDocument/2006/customXml" ds:itemID="{938A4EEF-2C4B-4310-BC4E-64B9CEF76E50}">
  <ds:schemaRefs>
    <ds:schemaRef ds:uri="http://schemas.microsoft.com/sharepoint/v3/contenttype/forms"/>
  </ds:schemaRefs>
</ds:datastoreItem>
</file>

<file path=customXml/itemProps3.xml><?xml version="1.0" encoding="utf-8"?>
<ds:datastoreItem xmlns:ds="http://schemas.openxmlformats.org/officeDocument/2006/customXml" ds:itemID="{CD260810-4913-40D8-A1E1-67716625F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cfc0c0-4f72-4409-b478-e2bdab037bd0"/>
    <ds:schemaRef ds:uri="cf4c57bc-49ba-410e-a1fb-2655bc3ca1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7A17EA-80D3-4521-B3B9-7F820A5B2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 A4 portrait.dotx</Template>
  <TotalTime>203</TotalTime>
  <Pages>1</Pages>
  <Words>2669</Words>
  <Characters>15215</Characters>
  <DocSecurity>0</DocSecurity>
  <Lines>126</Lines>
  <Paragraphs>35</Paragraphs>
  <ScaleCrop>false</ScaleCrop>
  <HeadingPairs>
    <vt:vector size="4" baseType="variant">
      <vt:variant>
        <vt:lpstr>Title</vt:lpstr>
      </vt:variant>
      <vt:variant>
        <vt:i4>1</vt:i4>
      </vt:variant>
      <vt:variant>
        <vt:lpstr>Headings</vt:lpstr>
      </vt:variant>
      <vt:variant>
        <vt:i4>25</vt:i4>
      </vt:variant>
    </vt:vector>
  </HeadingPairs>
  <TitlesOfParts>
    <vt:vector size="26" baseType="lpstr">
      <vt:lpstr/>
      <vt:lpstr>/</vt:lpstr>
      <vt:lpstr>Self-managed superannuation fund independent auditor’s report</vt:lpstr>
      <vt:lpstr>    Form for approved SMSF auditors</vt:lpstr>
      <vt:lpstr>    Our commitment to you</vt:lpstr>
      <vt:lpstr>    /Self-managed superannuation fund independent auditor’s report</vt:lpstr>
      <vt:lpstr>    Approved self-managed superannuation fund (SMSF) auditor details</vt:lpstr>
      <vt:lpstr>    SMSF details</vt:lpstr>
      <vt:lpstr>        To the SMSF trustees</vt:lpstr>
      <vt:lpstr>    Part A: Financial audit</vt:lpstr>
      <vt:lpstr>        Opinion [Qualified Opinion/Disclaimer of Opinion/Adverse Opinion (*)]  </vt:lpstr>
      <vt:lpstr>        Emphasis of Matter – Basis of accounting</vt:lpstr>
      <vt:lpstr>        Responsibilities of SMSF trustees for the financial report</vt:lpstr>
      <vt:lpstr>        Approved SMSF auditor’s responsibilities for the audit of the financial report </vt:lpstr>
      <vt:lpstr>    Part B: Compliance engagement</vt:lpstr>
      <vt:lpstr>        Opinion [Qualified Opinion/Disclaimer of Opinion/Adverse Opinion (*)] </vt:lpstr>
      <vt:lpstr>        Basis for Opinion [Basis for Qualified Opinion/Basis for Disclaimer of Opinion /</vt:lpstr>
      <vt:lpstr>        Independence and quality management</vt:lpstr>
      <vt:lpstr>        SMSF trustees’ responsibilities</vt:lpstr>
      <vt:lpstr>        Approved SMSF auditor’s responsibilities </vt:lpstr>
      <vt:lpstr>        Inherent limitations</vt:lpstr>
      <vt:lpstr>        SMSF auditor’s name</vt:lpstr>
      <vt:lpstr>        SMSF auditor’s signature</vt:lpstr>
      <vt:lpstr>        Date audit completed</vt:lpstr>
      <vt:lpstr>    </vt:lpstr>
      <vt:lpstr>    Appendix 1 – Explanation of listed sections and regulations in compliance engage</vt:lpstr>
    </vt:vector>
  </TitlesOfParts>
  <Company/>
  <LinksUpToDate>false</LinksUpToDate>
  <CharactersWithSpaces>17849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2024-06-06T22:09:00Z</dcterms:created>
  <dcterms:modified xsi:type="dcterms:W3CDTF">2024-06-19T00:47:00Z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0x01010066C11CE3F2526B4CB19983E9F519E1D5</vt:lpwstr>
  </property>
</Properties>
</file>